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05004114"/>
        <w:docPartObj>
          <w:docPartGallery w:val="Cover Pages"/>
          <w:docPartUnique/>
        </w:docPartObj>
      </w:sdtPr>
      <w:sdtEndPr>
        <w:rPr>
          <w:rFonts w:ascii="Segoe UI" w:hAnsi="Segoe UI" w:cs="Segoe UI"/>
        </w:rPr>
      </w:sdtEndPr>
      <w:sdtContent>
        <w:p w:rsidR="003237DD" w:rsidRDefault="00BD3EF5">
          <w:r>
            <w:rPr>
              <w:noProof/>
            </w:rPr>
            <w:drawing>
              <wp:inline distT="0" distB="0" distL="0" distR="0" wp14:anchorId="73730F48" wp14:editId="7BC3D22A">
                <wp:extent cx="5943600" cy="52743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274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237DD">
            <w:t xml:space="preserve"> </w:t>
          </w:r>
        </w:p>
        <w:p w:rsidR="00BD3EF5" w:rsidRDefault="00BD3EF5"/>
        <w:p w:rsidR="00BD3EF5" w:rsidRDefault="00BD3EF5"/>
        <w:p w:rsidR="003237DD" w:rsidRDefault="00BD3EF5">
          <w:pPr>
            <w:rPr>
              <w:rFonts w:ascii="Segoe UI" w:hAnsi="Segoe UI" w:cs="Segoe U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812E31" wp14:editId="08D5DC7B">
                    <wp:simplePos x="0" y="0"/>
                    <wp:positionH relativeFrom="page">
                      <wp:posOffset>1457325</wp:posOffset>
                    </wp:positionH>
                    <wp:positionV relativeFrom="page">
                      <wp:posOffset>8086725</wp:posOffset>
                    </wp:positionV>
                    <wp:extent cx="6029325" cy="144780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29325" cy="1447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3EF5" w:rsidRDefault="00D370FF" w:rsidP="00BD3EF5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Segoe UI" w:hAnsi="Segoe UI" w:cs="Segoe UI"/>
                                      <w:caps/>
                                      <w:sz w:val="48"/>
                                      <w:szCs w:val="48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D3EF5" w:rsidRPr="00D639F9">
                                      <w:rPr>
                                        <w:rFonts w:ascii="Segoe UI" w:hAnsi="Segoe UI" w:cs="Segoe UI"/>
                                        <w:caps/>
                                        <w:sz w:val="48"/>
                                        <w:szCs w:val="48"/>
                                      </w:rPr>
                                      <w:t>LABOR MARKET DATA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D3EF5" w:rsidRPr="00D639F9" w:rsidRDefault="00BD3EF5" w:rsidP="00BD3EF5">
                                    <w:pPr>
                                      <w:jc w:val="right"/>
                                      <w:rPr>
                                        <w:rFonts w:ascii="Segoe UI" w:hAnsi="Segoe UI" w:cs="Segoe UI"/>
                                        <w:smallCaps/>
                                        <w:sz w:val="24"/>
                                        <w:szCs w:val="24"/>
                                      </w:rPr>
                                    </w:pPr>
                                    <w:r w:rsidRPr="00D639F9">
                                      <w:rPr>
                                        <w:rFonts w:ascii="Segoe UI" w:hAnsi="Segoe UI" w:cs="Segoe UI"/>
                                        <w:sz w:val="24"/>
                                        <w:szCs w:val="24"/>
                                      </w:rPr>
                                      <w:t>Food Safety in Animal Science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812E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14.75pt;margin-top:636.75pt;width:47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" filled="f" stroked="f" strokeweight=".5pt">
                    <v:textbox inset="126pt,0,54pt,0">
                      <w:txbxContent>
                        <w:p w:rsidR="00BD3EF5" w:rsidRDefault="00BD3EF5" w:rsidP="00BD3EF5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Segoe UI" w:hAnsi="Segoe UI" w:cs="Segoe UI"/>
                                <w:caps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D639F9">
                                <w:rPr>
                                  <w:rFonts w:ascii="Segoe UI" w:hAnsi="Segoe UI" w:cs="Segoe UI"/>
                                  <w:caps/>
                                  <w:sz w:val="48"/>
                                  <w:szCs w:val="48"/>
                                </w:rPr>
                                <w:t>LABOR MARKET DATA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D3EF5" w:rsidRPr="00D639F9" w:rsidRDefault="00BD3EF5" w:rsidP="00BD3EF5">
                              <w:pPr>
                                <w:jc w:val="right"/>
                                <w:rPr>
                                  <w:rFonts w:ascii="Segoe UI" w:hAnsi="Segoe UI" w:cs="Segoe UI"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D639F9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Food Safety in Animal Science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237DD">
            <w:rPr>
              <w:rFonts w:ascii="Segoe UI" w:hAnsi="Segoe UI" w:cs="Segoe UI"/>
            </w:rPr>
            <w:br w:type="page"/>
          </w:r>
        </w:p>
      </w:sdtContent>
    </w:sdt>
    <w:p w:rsidR="00CA2ED5" w:rsidRPr="00CA2ED5" w:rsidRDefault="00CA2ED5" w:rsidP="00603B3D">
      <w:pPr>
        <w:spacing w:after="0" w:line="240" w:lineRule="auto"/>
        <w:jc w:val="both"/>
        <w:outlineLvl w:val="1"/>
        <w:rPr>
          <w:rFonts w:ascii="Segoe UI" w:eastAsia="Times New Roman" w:hAnsi="Segoe UI" w:cs="Segoe UI"/>
          <w:b/>
          <w:sz w:val="24"/>
          <w:szCs w:val="24"/>
          <w:lang w:val="en"/>
        </w:rPr>
      </w:pPr>
      <w:r w:rsidRPr="00CA2ED5">
        <w:rPr>
          <w:rFonts w:ascii="Segoe UI" w:eastAsia="Times New Roman" w:hAnsi="Segoe UI" w:cs="Segoe UI"/>
          <w:b/>
          <w:sz w:val="24"/>
          <w:szCs w:val="24"/>
          <w:lang w:val="en"/>
        </w:rPr>
        <w:lastRenderedPageBreak/>
        <w:t xml:space="preserve">Overview: </w:t>
      </w:r>
    </w:p>
    <w:p w:rsidR="00CA2ED5" w:rsidRPr="00CA2ED5" w:rsidRDefault="00CA2ED5" w:rsidP="00603B3D">
      <w:pPr>
        <w:spacing w:after="0" w:line="240" w:lineRule="auto"/>
        <w:jc w:val="both"/>
        <w:outlineLvl w:val="1"/>
        <w:rPr>
          <w:rFonts w:ascii="Segoe UI" w:eastAsia="Times New Roman" w:hAnsi="Segoe UI" w:cs="Segoe UI"/>
          <w:sz w:val="24"/>
          <w:szCs w:val="24"/>
          <w:lang w:val="en"/>
        </w:rPr>
      </w:pPr>
    </w:p>
    <w:p w:rsidR="00603B3D" w:rsidRPr="00CA2ED5" w:rsidRDefault="00603B3D" w:rsidP="00603B3D">
      <w:pPr>
        <w:spacing w:after="0" w:line="240" w:lineRule="auto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val="en"/>
        </w:rPr>
      </w:pPr>
      <w:proofErr w:type="spellStart"/>
      <w:r w:rsidRPr="00CA2ED5">
        <w:rPr>
          <w:rFonts w:ascii="Segoe UI" w:eastAsia="Times New Roman" w:hAnsi="Segoe UI" w:cs="Segoe UI"/>
          <w:sz w:val="24"/>
          <w:szCs w:val="24"/>
          <w:lang w:val="en"/>
        </w:rPr>
        <w:t>Onet</w:t>
      </w:r>
      <w:proofErr w:type="spellEnd"/>
      <w:r w:rsidRPr="00CA2ED5">
        <w:rPr>
          <w:rFonts w:ascii="Segoe UI" w:eastAsia="Times New Roman" w:hAnsi="Segoe UI" w:cs="Segoe UI"/>
          <w:sz w:val="24"/>
          <w:szCs w:val="24"/>
          <w:lang w:val="en"/>
        </w:rPr>
        <w:t xml:space="preserve"> </w:t>
      </w:r>
      <w:r w:rsidR="00CA2ED5" w:rsidRPr="00CA2ED5">
        <w:rPr>
          <w:rFonts w:ascii="Segoe UI" w:eastAsia="Times New Roman" w:hAnsi="Segoe UI" w:cs="Segoe UI"/>
          <w:sz w:val="24"/>
          <w:szCs w:val="24"/>
          <w:lang w:val="en"/>
        </w:rPr>
        <w:t xml:space="preserve">Online, </w:t>
      </w:r>
      <w:r w:rsidR="00CA2ED5" w:rsidRPr="00CA2ED5">
        <w:rPr>
          <w:rFonts w:ascii="Segoe UI" w:hAnsi="Segoe UI" w:cs="Segoe UI"/>
          <w:sz w:val="24"/>
          <w:szCs w:val="24"/>
          <w:lang w:val="en"/>
        </w:rPr>
        <w:t xml:space="preserve">sponsored by the </w:t>
      </w:r>
      <w:r w:rsidR="00CA2ED5" w:rsidRPr="00CA2ED5">
        <w:rPr>
          <w:rFonts w:ascii="Segoe UI" w:hAnsi="Segoe UI" w:cs="Segoe UI"/>
          <w:bCs/>
          <w:sz w:val="24"/>
          <w:szCs w:val="24"/>
          <w:lang w:val="en"/>
        </w:rPr>
        <w:t>U.S. Department of Labor/Employment and Training Administration</w:t>
      </w:r>
      <w:r w:rsidR="00CA2ED5" w:rsidRPr="00CA2ED5">
        <w:rPr>
          <w:rFonts w:ascii="Segoe UI" w:hAnsi="Segoe UI" w:cs="Segoe UI"/>
          <w:sz w:val="24"/>
          <w:szCs w:val="24"/>
          <w:lang w:val="en"/>
        </w:rPr>
        <w:t xml:space="preserve"> (USDOL/ETA) </w:t>
      </w:r>
      <w:r w:rsidR="00055DD4">
        <w:rPr>
          <w:rFonts w:ascii="Segoe UI" w:eastAsia="Times New Roman" w:hAnsi="Segoe UI" w:cs="Segoe UI"/>
          <w:sz w:val="24"/>
          <w:szCs w:val="24"/>
          <w:lang w:val="en"/>
        </w:rPr>
        <w:t xml:space="preserve">describes </w:t>
      </w:r>
      <w:r w:rsidRPr="00CA2ED5">
        <w:rPr>
          <w:rFonts w:ascii="Segoe UI" w:eastAsia="Times New Roman" w:hAnsi="Segoe UI" w:cs="Segoe UI"/>
          <w:sz w:val="24"/>
          <w:szCs w:val="24"/>
          <w:lang w:val="en"/>
        </w:rPr>
        <w:t xml:space="preserve">the position of </w:t>
      </w:r>
      <w:r w:rsidRPr="009C26FC">
        <w:rPr>
          <w:rFonts w:ascii="Segoe UI" w:eastAsia="Times New Roman" w:hAnsi="Segoe UI" w:cs="Segoe UI"/>
          <w:bCs/>
          <w:i/>
          <w:sz w:val="24"/>
          <w:szCs w:val="24"/>
          <w:lang w:val="en"/>
        </w:rPr>
        <w:t>Agricultu</w:t>
      </w:r>
      <w:r w:rsidR="009C26FC" w:rsidRPr="009C26FC">
        <w:rPr>
          <w:rFonts w:ascii="Segoe UI" w:eastAsia="Times New Roman" w:hAnsi="Segoe UI" w:cs="Segoe UI"/>
          <w:bCs/>
          <w:i/>
          <w:sz w:val="24"/>
          <w:szCs w:val="24"/>
          <w:lang w:val="en"/>
        </w:rPr>
        <w:t>ral and Food Science Technician</w:t>
      </w:r>
      <w:r w:rsidRPr="009C26FC">
        <w:rPr>
          <w:rFonts w:ascii="Segoe UI" w:eastAsia="Times New Roman" w:hAnsi="Segoe UI" w:cs="Segoe UI"/>
          <w:bCs/>
          <w:i/>
          <w:sz w:val="24"/>
          <w:szCs w:val="24"/>
          <w:lang w:val="en"/>
        </w:rPr>
        <w:t xml:space="preserve"> </w:t>
      </w:r>
      <w:r w:rsidRPr="00CA2ED5">
        <w:rPr>
          <w:rFonts w:ascii="Segoe UI" w:eastAsia="Times New Roman" w:hAnsi="Segoe UI" w:cs="Segoe UI"/>
          <w:bCs/>
          <w:sz w:val="24"/>
          <w:szCs w:val="24"/>
          <w:lang w:val="en"/>
        </w:rPr>
        <w:t>(919-4011.00)</w:t>
      </w:r>
      <w:r w:rsidRPr="00CA2ED5">
        <w:rPr>
          <w:rStyle w:val="FootnoteReference"/>
          <w:rFonts w:ascii="Segoe UI" w:eastAsia="Times New Roman" w:hAnsi="Segoe UI" w:cs="Segoe UI"/>
          <w:bCs/>
          <w:sz w:val="24"/>
          <w:szCs w:val="24"/>
          <w:lang w:val="en"/>
        </w:rPr>
        <w:footnoteReference w:id="1"/>
      </w:r>
      <w:r w:rsidRPr="00CA2ED5">
        <w:rPr>
          <w:rFonts w:ascii="Segoe UI" w:eastAsia="Times New Roman" w:hAnsi="Segoe UI" w:cs="Segoe UI"/>
          <w:bCs/>
          <w:sz w:val="24"/>
          <w:szCs w:val="24"/>
          <w:lang w:val="en"/>
        </w:rPr>
        <w:t xml:space="preserve"> </w:t>
      </w:r>
      <w:r w:rsidR="009C26FC">
        <w:rPr>
          <w:rFonts w:ascii="Segoe UI" w:eastAsia="Times New Roman" w:hAnsi="Segoe UI" w:cs="Segoe UI"/>
          <w:bCs/>
          <w:sz w:val="24"/>
          <w:szCs w:val="24"/>
          <w:lang w:val="en"/>
        </w:rPr>
        <w:t>as follows</w:t>
      </w:r>
      <w:r w:rsidR="00CA2ED5">
        <w:rPr>
          <w:rFonts w:ascii="Segoe UI" w:eastAsia="Times New Roman" w:hAnsi="Segoe UI" w:cs="Segoe UI"/>
          <w:bCs/>
          <w:sz w:val="24"/>
          <w:szCs w:val="24"/>
          <w:lang w:val="en"/>
        </w:rPr>
        <w:t xml:space="preserve">: </w:t>
      </w:r>
      <w:r w:rsidRPr="00CA2ED5">
        <w:rPr>
          <w:rFonts w:ascii="Segoe UI" w:eastAsia="Times New Roman" w:hAnsi="Segoe UI" w:cs="Segoe UI"/>
          <w:bCs/>
          <w:sz w:val="24"/>
          <w:szCs w:val="24"/>
          <w:lang w:val="en"/>
        </w:rPr>
        <w:t xml:space="preserve"> </w:t>
      </w:r>
    </w:p>
    <w:p w:rsidR="00CA2ED5" w:rsidRPr="00CA2ED5" w:rsidRDefault="00603B3D" w:rsidP="00CA2ED5">
      <w:pPr>
        <w:pStyle w:val="ListParagraph"/>
        <w:numPr>
          <w:ilvl w:val="0"/>
          <w:numId w:val="6"/>
        </w:numPr>
        <w:spacing w:after="0" w:line="240" w:lineRule="auto"/>
        <w:ind w:left="648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val="en"/>
        </w:rPr>
      </w:pPr>
      <w:r w:rsidRPr="00CA2ED5">
        <w:rPr>
          <w:rFonts w:ascii="Segoe UI" w:eastAsia="Times New Roman" w:hAnsi="Segoe UI" w:cs="Segoe UI"/>
          <w:sz w:val="24"/>
          <w:szCs w:val="24"/>
          <w:lang w:val="en"/>
        </w:rPr>
        <w:t xml:space="preserve">Work with agricultural and food scientists in food, fiber, and animal research, production, and processing; and assist with animal breeding and nutrition. </w:t>
      </w:r>
    </w:p>
    <w:p w:rsidR="00CA2ED5" w:rsidRPr="00CA2ED5" w:rsidRDefault="00603B3D" w:rsidP="00CA2ED5">
      <w:pPr>
        <w:pStyle w:val="ListParagraph"/>
        <w:numPr>
          <w:ilvl w:val="0"/>
          <w:numId w:val="6"/>
        </w:numPr>
        <w:spacing w:after="0" w:line="240" w:lineRule="auto"/>
        <w:ind w:left="648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val="en"/>
        </w:rPr>
      </w:pPr>
      <w:r w:rsidRPr="00CA2ED5">
        <w:rPr>
          <w:rFonts w:ascii="Segoe UI" w:eastAsia="Times New Roman" w:hAnsi="Segoe UI" w:cs="Segoe UI"/>
          <w:sz w:val="24"/>
          <w:szCs w:val="24"/>
          <w:lang w:val="en"/>
        </w:rPr>
        <w:t xml:space="preserve">Conduct tests and experiments to improve yield and quality of crops or to increase the resistance of plants and animals to disease or insects. </w:t>
      </w:r>
    </w:p>
    <w:p w:rsidR="00603B3D" w:rsidRPr="00CA2ED5" w:rsidRDefault="00603B3D" w:rsidP="00CA2ED5">
      <w:pPr>
        <w:pStyle w:val="ListParagraph"/>
        <w:numPr>
          <w:ilvl w:val="0"/>
          <w:numId w:val="6"/>
        </w:numPr>
        <w:spacing w:after="0" w:line="240" w:lineRule="auto"/>
        <w:ind w:left="648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val="en"/>
        </w:rPr>
      </w:pPr>
      <w:r w:rsidRPr="00CA2ED5">
        <w:rPr>
          <w:rFonts w:ascii="Segoe UI" w:eastAsia="Times New Roman" w:hAnsi="Segoe UI" w:cs="Segoe UI"/>
          <w:sz w:val="24"/>
          <w:szCs w:val="24"/>
          <w:lang w:val="en"/>
        </w:rPr>
        <w:t>Includes technicians who assist food scientists or technologists in the research and development of production technology, quality control, packaging, processing, and use of foods.</w:t>
      </w:r>
    </w:p>
    <w:p w:rsidR="00603B3D" w:rsidRPr="00CA2ED5" w:rsidRDefault="00603B3D" w:rsidP="00EF5E8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"/>
        </w:rPr>
      </w:pPr>
    </w:p>
    <w:p w:rsidR="009174D4" w:rsidRPr="00CA2ED5" w:rsidRDefault="009174D4" w:rsidP="00EF5E8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"/>
        </w:rPr>
      </w:pPr>
      <w:r w:rsidRPr="00CA2ED5">
        <w:rPr>
          <w:rFonts w:ascii="Segoe UI" w:hAnsi="Segoe UI" w:cs="Segoe UI"/>
          <w:bCs/>
          <w:sz w:val="24"/>
          <w:szCs w:val="24"/>
        </w:rPr>
        <w:t xml:space="preserve">According to </w:t>
      </w:r>
      <w:r w:rsidR="009C26FC">
        <w:rPr>
          <w:rFonts w:ascii="Segoe UI" w:hAnsi="Segoe UI" w:cs="Segoe UI"/>
          <w:bCs/>
          <w:sz w:val="24"/>
          <w:szCs w:val="24"/>
        </w:rPr>
        <w:t xml:space="preserve">the article </w:t>
      </w:r>
      <w:r w:rsidRPr="00CA2ED5">
        <w:rPr>
          <w:rFonts w:ascii="Segoe UI" w:hAnsi="Segoe UI" w:cs="Segoe UI"/>
          <w:bCs/>
          <w:i/>
          <w:sz w:val="24"/>
          <w:szCs w:val="24"/>
        </w:rPr>
        <w:t>Occupational Analysis of the Present a</w:t>
      </w:r>
      <w:r w:rsidR="00055DD4">
        <w:rPr>
          <w:rFonts w:ascii="Segoe UI" w:hAnsi="Segoe UI" w:cs="Segoe UI"/>
          <w:bCs/>
          <w:i/>
          <w:sz w:val="24"/>
          <w:szCs w:val="24"/>
        </w:rPr>
        <w:t>nd Future Food Safety Workforce,</w:t>
      </w:r>
      <w:r w:rsidRPr="00CA2ED5">
        <w:rPr>
          <w:rStyle w:val="FootnoteReference"/>
          <w:rFonts w:ascii="Segoe UI" w:hAnsi="Segoe UI" w:cs="Segoe UI"/>
          <w:bCs/>
          <w:i/>
          <w:sz w:val="24"/>
          <w:szCs w:val="24"/>
        </w:rPr>
        <w:footnoteReference w:id="2"/>
      </w:r>
      <w:r w:rsidR="009C26FC">
        <w:rPr>
          <w:rFonts w:ascii="Segoe UI" w:hAnsi="Segoe UI" w:cs="Segoe UI"/>
          <w:b/>
          <w:bCs/>
          <w:sz w:val="24"/>
          <w:szCs w:val="24"/>
        </w:rPr>
        <w:t xml:space="preserve"> “</w:t>
      </w:r>
      <w:r w:rsidR="009C26FC">
        <w:rPr>
          <w:rFonts w:ascii="Segoe UI" w:hAnsi="Segoe UI" w:cs="Segoe UI"/>
          <w:bCs/>
          <w:sz w:val="24"/>
          <w:szCs w:val="24"/>
        </w:rPr>
        <w:t>… a</w:t>
      </w:r>
      <w:r w:rsidRPr="00CA2ED5">
        <w:rPr>
          <w:rFonts w:ascii="Segoe UI" w:hAnsi="Segoe UI" w:cs="Segoe UI"/>
          <w:bCs/>
          <w:sz w:val="24"/>
          <w:szCs w:val="24"/>
        </w:rPr>
        <w:t xml:space="preserve"> general shortage of qualified food safety professionals has been observed in recent years...“  Although this report is a national study</w:t>
      </w:r>
      <w:r w:rsidR="009C26FC">
        <w:rPr>
          <w:rFonts w:ascii="Segoe UI" w:hAnsi="Segoe UI" w:cs="Segoe UI"/>
          <w:bCs/>
          <w:sz w:val="24"/>
          <w:szCs w:val="24"/>
        </w:rPr>
        <w:t xml:space="preserve">, when </w:t>
      </w:r>
      <w:r w:rsidR="00055DD4">
        <w:rPr>
          <w:rFonts w:ascii="Segoe UI" w:hAnsi="Segoe UI" w:cs="Segoe UI"/>
          <w:bCs/>
          <w:sz w:val="24"/>
          <w:szCs w:val="24"/>
        </w:rPr>
        <w:t xml:space="preserve">looking at the </w:t>
      </w:r>
      <w:r w:rsidR="009C26FC">
        <w:rPr>
          <w:rFonts w:ascii="Segoe UI" w:hAnsi="Segoe UI" w:cs="Segoe UI"/>
          <w:bCs/>
          <w:sz w:val="24"/>
          <w:szCs w:val="24"/>
        </w:rPr>
        <w:t>Central V</w:t>
      </w:r>
      <w:r w:rsidR="00055DD4">
        <w:rPr>
          <w:rFonts w:ascii="Segoe UI" w:hAnsi="Segoe UI" w:cs="Segoe UI"/>
          <w:bCs/>
          <w:sz w:val="24"/>
          <w:szCs w:val="24"/>
        </w:rPr>
        <w:t xml:space="preserve">alley </w:t>
      </w:r>
      <w:r w:rsidRPr="00CA2ED5">
        <w:rPr>
          <w:rFonts w:ascii="Segoe UI" w:hAnsi="Segoe UI" w:cs="Segoe UI"/>
          <w:bCs/>
          <w:sz w:val="24"/>
          <w:szCs w:val="24"/>
        </w:rPr>
        <w:t xml:space="preserve">there is strong evidence that students earning a certificate in </w:t>
      </w:r>
      <w:r w:rsidRPr="00055DD4">
        <w:rPr>
          <w:rStyle w:val="titleb"/>
          <w:rFonts w:ascii="Segoe UI" w:hAnsi="Segoe UI" w:cs="Segoe UI"/>
          <w:b w:val="0"/>
          <w:bCs w:val="0"/>
          <w:i/>
          <w:color w:val="auto"/>
          <w:sz w:val="24"/>
          <w:szCs w:val="24"/>
          <w:lang w:val="en"/>
        </w:rPr>
        <w:t>Agricultural and Food Science Technicians</w:t>
      </w:r>
      <w:r w:rsidR="00B944FB" w:rsidRPr="00CA2ED5">
        <w:rPr>
          <w:rStyle w:val="titleb"/>
          <w:rFonts w:ascii="Segoe UI" w:hAnsi="Segoe UI" w:cs="Segoe UI"/>
          <w:b w:val="0"/>
          <w:bCs w:val="0"/>
          <w:color w:val="auto"/>
          <w:sz w:val="24"/>
          <w:szCs w:val="24"/>
          <w:lang w:val="en"/>
        </w:rPr>
        <w:t xml:space="preserve"> will be gainfully employed. </w:t>
      </w:r>
    </w:p>
    <w:p w:rsidR="009174D4" w:rsidRPr="00CA2ED5" w:rsidRDefault="009174D4" w:rsidP="00EF5E81">
      <w:pPr>
        <w:pStyle w:val="Default"/>
        <w:jc w:val="both"/>
        <w:rPr>
          <w:rFonts w:ascii="Segoe UI" w:hAnsi="Segoe UI" w:cs="Segoe UI"/>
          <w:color w:val="auto"/>
        </w:rPr>
      </w:pPr>
    </w:p>
    <w:p w:rsidR="0016038A" w:rsidRDefault="005E1C38" w:rsidP="00EF5E81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A2ED5">
        <w:rPr>
          <w:rFonts w:ascii="Segoe UI" w:hAnsi="Segoe UI" w:cs="Segoe UI"/>
          <w:b/>
          <w:sz w:val="24"/>
          <w:szCs w:val="24"/>
        </w:rPr>
        <w:t>Section I:</w:t>
      </w:r>
      <w:r w:rsidR="00EB4BAF" w:rsidRPr="00CA2ED5">
        <w:rPr>
          <w:rFonts w:ascii="Segoe UI" w:hAnsi="Segoe UI" w:cs="Segoe UI"/>
          <w:b/>
          <w:sz w:val="24"/>
          <w:szCs w:val="24"/>
        </w:rPr>
        <w:t xml:space="preserve"> Labor Market Demand</w:t>
      </w:r>
    </w:p>
    <w:p w:rsidR="00CA2ED5" w:rsidRPr="00CA2ED5" w:rsidRDefault="00CA2ED5" w:rsidP="00EF5E81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D22BFB" w:rsidRPr="00CA2ED5" w:rsidRDefault="00D22BFB" w:rsidP="00EF5E81">
      <w:pPr>
        <w:spacing w:after="0" w:line="240" w:lineRule="auto"/>
        <w:jc w:val="both"/>
        <w:rPr>
          <w:rStyle w:val="logo-text-25"/>
          <w:rFonts w:ascii="Segoe UI" w:hAnsi="Segoe UI" w:cs="Segoe UI"/>
          <w:sz w:val="24"/>
          <w:szCs w:val="24"/>
          <w:lang w:val="en"/>
        </w:rPr>
      </w:pPr>
      <w:r w:rsidRPr="00CA2ED5">
        <w:rPr>
          <w:rFonts w:ascii="Segoe UI" w:hAnsi="Segoe UI" w:cs="Segoe UI"/>
          <w:sz w:val="24"/>
          <w:szCs w:val="24"/>
        </w:rPr>
        <w:t>The chart below details the p</w:t>
      </w:r>
      <w:r w:rsidR="00B944FB" w:rsidRPr="00CA2ED5">
        <w:rPr>
          <w:rFonts w:ascii="Segoe UI" w:hAnsi="Segoe UI" w:cs="Segoe UI"/>
          <w:sz w:val="24"/>
          <w:szCs w:val="24"/>
        </w:rPr>
        <w:t xml:space="preserve">rojected </w:t>
      </w:r>
      <w:r w:rsidRPr="00CA2ED5">
        <w:rPr>
          <w:rFonts w:ascii="Segoe UI" w:hAnsi="Segoe UI" w:cs="Segoe UI"/>
          <w:sz w:val="24"/>
          <w:szCs w:val="24"/>
        </w:rPr>
        <w:t>e</w:t>
      </w:r>
      <w:r w:rsidR="00B944FB" w:rsidRPr="00CA2ED5">
        <w:rPr>
          <w:rFonts w:ascii="Segoe UI" w:hAnsi="Segoe UI" w:cs="Segoe UI"/>
          <w:sz w:val="24"/>
          <w:szCs w:val="24"/>
        </w:rPr>
        <w:t xml:space="preserve">mployment </w:t>
      </w:r>
      <w:r w:rsidR="00EF5E81" w:rsidRPr="00CA2ED5">
        <w:rPr>
          <w:rFonts w:ascii="Segoe UI" w:hAnsi="Segoe UI" w:cs="Segoe UI"/>
          <w:sz w:val="24"/>
          <w:szCs w:val="24"/>
        </w:rPr>
        <w:t xml:space="preserve">growth </w:t>
      </w:r>
      <w:r w:rsidR="00B944FB" w:rsidRPr="00CA2ED5">
        <w:rPr>
          <w:rFonts w:ascii="Segoe UI" w:hAnsi="Segoe UI" w:cs="Segoe UI"/>
          <w:sz w:val="24"/>
          <w:szCs w:val="24"/>
        </w:rPr>
        <w:t xml:space="preserve">for </w:t>
      </w:r>
      <w:r w:rsidR="009C26FC" w:rsidRPr="009C26FC">
        <w:rPr>
          <w:rFonts w:ascii="Segoe UI" w:eastAsia="Times New Roman" w:hAnsi="Segoe UI" w:cs="Segoe UI"/>
          <w:bCs/>
          <w:i/>
          <w:sz w:val="24"/>
          <w:szCs w:val="24"/>
          <w:lang w:val="en"/>
        </w:rPr>
        <w:t>Agricultural and Food Science Technician</w:t>
      </w:r>
      <w:r w:rsidR="009C26FC">
        <w:rPr>
          <w:rFonts w:ascii="Segoe UI" w:eastAsia="Times New Roman" w:hAnsi="Segoe UI" w:cs="Segoe UI"/>
          <w:bCs/>
          <w:i/>
          <w:sz w:val="24"/>
          <w:szCs w:val="24"/>
          <w:lang w:val="en"/>
        </w:rPr>
        <w:t>s</w:t>
      </w:r>
      <w:r w:rsidR="009C26FC" w:rsidRPr="009C26FC">
        <w:rPr>
          <w:rFonts w:ascii="Segoe UI" w:eastAsia="Times New Roman" w:hAnsi="Segoe UI" w:cs="Segoe UI"/>
          <w:bCs/>
          <w:i/>
          <w:sz w:val="24"/>
          <w:szCs w:val="24"/>
          <w:lang w:val="en"/>
        </w:rPr>
        <w:t xml:space="preserve"> </w:t>
      </w:r>
      <w:r w:rsidR="00EF5E81" w:rsidRPr="00CA2ED5">
        <w:rPr>
          <w:rFonts w:ascii="Segoe UI" w:hAnsi="Segoe UI" w:cs="Segoe UI"/>
          <w:sz w:val="24"/>
          <w:szCs w:val="24"/>
        </w:rPr>
        <w:t>in California.</w:t>
      </w:r>
      <w:r w:rsidR="00B944FB" w:rsidRPr="00CA2ED5">
        <w:rPr>
          <w:rStyle w:val="FootnoteReference"/>
          <w:rFonts w:ascii="Segoe UI" w:hAnsi="Segoe UI" w:cs="Segoe UI"/>
          <w:sz w:val="24"/>
          <w:szCs w:val="24"/>
        </w:rPr>
        <w:footnoteReference w:id="3"/>
      </w:r>
      <w:r w:rsidR="00B944FB" w:rsidRPr="00CA2ED5">
        <w:rPr>
          <w:rFonts w:ascii="Segoe UI" w:hAnsi="Segoe UI" w:cs="Segoe UI"/>
          <w:sz w:val="24"/>
          <w:szCs w:val="24"/>
        </w:rPr>
        <w:t xml:space="preserve"> </w:t>
      </w:r>
      <w:r w:rsidR="00EF5E81" w:rsidRPr="00CA2ED5">
        <w:rPr>
          <w:rFonts w:ascii="Segoe UI" w:hAnsi="Segoe UI" w:cs="Segoe UI"/>
          <w:sz w:val="24"/>
          <w:szCs w:val="24"/>
        </w:rPr>
        <w:t xml:space="preserve">The chart </w:t>
      </w:r>
      <w:r w:rsidR="00B944FB" w:rsidRPr="00CA2ED5">
        <w:rPr>
          <w:rFonts w:ascii="Segoe UI" w:hAnsi="Segoe UI" w:cs="Segoe UI"/>
          <w:sz w:val="24"/>
          <w:szCs w:val="24"/>
        </w:rPr>
        <w:t>from Careeronestop.com</w:t>
      </w:r>
      <w:r w:rsidRPr="00CA2ED5">
        <w:rPr>
          <w:rFonts w:ascii="Segoe UI" w:hAnsi="Segoe UI" w:cs="Segoe UI"/>
          <w:sz w:val="24"/>
          <w:szCs w:val="24"/>
        </w:rPr>
        <w:t>,</w:t>
      </w:r>
      <w:r w:rsidR="00B944FB" w:rsidRPr="00CA2ED5">
        <w:rPr>
          <w:rFonts w:ascii="Segoe UI" w:hAnsi="Segoe UI" w:cs="Segoe UI"/>
          <w:sz w:val="24"/>
          <w:szCs w:val="24"/>
        </w:rPr>
        <w:t xml:space="preserve"> a site </w:t>
      </w:r>
      <w:r w:rsidR="00B944FB" w:rsidRPr="00CA2ED5">
        <w:rPr>
          <w:rStyle w:val="logo-text-25"/>
          <w:rFonts w:ascii="Segoe UI" w:hAnsi="Segoe UI" w:cs="Segoe UI"/>
          <w:sz w:val="24"/>
          <w:szCs w:val="24"/>
          <w:lang w:val="en"/>
        </w:rPr>
        <w:t>sponsored by the U.S. De</w:t>
      </w:r>
      <w:r w:rsidRPr="00CA2ED5">
        <w:rPr>
          <w:rStyle w:val="logo-text-25"/>
          <w:rFonts w:ascii="Segoe UI" w:hAnsi="Segoe UI" w:cs="Segoe UI"/>
          <w:sz w:val="24"/>
          <w:szCs w:val="24"/>
          <w:lang w:val="en"/>
        </w:rPr>
        <w:t>partment of Labor</w:t>
      </w:r>
      <w:r w:rsidR="009C26FC">
        <w:rPr>
          <w:rStyle w:val="logo-text-25"/>
          <w:rFonts w:ascii="Segoe UI" w:hAnsi="Segoe UI" w:cs="Segoe UI"/>
          <w:sz w:val="24"/>
          <w:szCs w:val="24"/>
          <w:lang w:val="en"/>
        </w:rPr>
        <w:t xml:space="preserve"> details C</w:t>
      </w:r>
      <w:r w:rsidR="00EF5E81" w:rsidRPr="00CA2ED5">
        <w:rPr>
          <w:rStyle w:val="logo-text-25"/>
          <w:rFonts w:ascii="Segoe UI" w:hAnsi="Segoe UI" w:cs="Segoe UI"/>
          <w:sz w:val="24"/>
          <w:szCs w:val="24"/>
          <w:lang w:val="en"/>
        </w:rPr>
        <w:t>alifornia’s growth rate in this employment field between 2014 through 2024</w:t>
      </w:r>
      <w:r w:rsidR="009C26FC">
        <w:rPr>
          <w:rStyle w:val="logo-text-25"/>
          <w:rFonts w:ascii="Segoe UI" w:hAnsi="Segoe UI" w:cs="Segoe UI"/>
          <w:sz w:val="24"/>
          <w:szCs w:val="24"/>
          <w:lang w:val="en"/>
        </w:rPr>
        <w:t>. Growth is listed as</w:t>
      </w:r>
      <w:r w:rsidR="00EF5E81" w:rsidRPr="00CA2ED5">
        <w:rPr>
          <w:rStyle w:val="logo-text-25"/>
          <w:rFonts w:ascii="Segoe UI" w:hAnsi="Segoe UI" w:cs="Segoe UI"/>
          <w:sz w:val="24"/>
          <w:szCs w:val="24"/>
          <w:lang w:val="en"/>
        </w:rPr>
        <w:t xml:space="preserve"> +19%. </w:t>
      </w:r>
    </w:p>
    <w:p w:rsidR="00D22BFB" w:rsidRPr="00CA2ED5" w:rsidRDefault="00D22BFB" w:rsidP="00EF5E81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</w:p>
    <w:p w:rsidR="00D22BFB" w:rsidRPr="00CA2ED5" w:rsidRDefault="00D22BFB" w:rsidP="00EF5E81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  <w:r w:rsidRPr="00CA2ED5">
        <w:rPr>
          <w:rFonts w:ascii="Segoe UI" w:hAnsi="Segoe UI" w:cs="Segoe UI"/>
          <w:b/>
          <w:sz w:val="24"/>
          <w:szCs w:val="24"/>
        </w:rPr>
        <w:t>Employment for Agricultural and Food Science Technicians</w:t>
      </w:r>
      <w:r w:rsidR="00EF5E81" w:rsidRPr="00CA2ED5">
        <w:rPr>
          <w:rFonts w:ascii="Segoe UI" w:hAnsi="Segoe UI" w:cs="Segoe UI"/>
          <w:b/>
          <w:sz w:val="24"/>
          <w:szCs w:val="24"/>
        </w:rPr>
        <w:t xml:space="preserve">: </w:t>
      </w:r>
    </w:p>
    <w:p w:rsidR="00B944FB" w:rsidRDefault="00EF5E81" w:rsidP="00EF5E81">
      <w:pPr>
        <w:spacing w:after="0" w:line="240" w:lineRule="auto"/>
        <w:jc w:val="both"/>
        <w:rPr>
          <w:rFonts w:ascii="Segoe UI" w:hAnsi="Segoe UI" w:cs="Segoe UI"/>
          <w:noProof/>
        </w:rPr>
      </w:pPr>
      <w:r>
        <w:rPr>
          <w:noProof/>
        </w:rPr>
        <w:drawing>
          <wp:inline distT="0" distB="0" distL="0" distR="0" wp14:anchorId="2C926EC3" wp14:editId="6ED078C4">
            <wp:extent cx="5999999" cy="1924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0336" cy="19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81" w:rsidRPr="00CA2ED5" w:rsidRDefault="00B944FB" w:rsidP="00EF5E81">
      <w:pPr>
        <w:pStyle w:val="Default"/>
        <w:jc w:val="both"/>
        <w:rPr>
          <w:rFonts w:ascii="Segoe UI" w:hAnsi="Segoe UI" w:cs="Segoe UI"/>
          <w:color w:val="auto"/>
        </w:rPr>
      </w:pPr>
      <w:r w:rsidRPr="00CA2ED5">
        <w:rPr>
          <w:rFonts w:ascii="Segoe UI" w:hAnsi="Segoe UI" w:cs="Segoe UI"/>
          <w:b/>
          <w:color w:val="auto"/>
        </w:rPr>
        <w:lastRenderedPageBreak/>
        <w:t xml:space="preserve">Looking </w:t>
      </w:r>
      <w:r w:rsidR="009C26FC">
        <w:rPr>
          <w:rFonts w:ascii="Segoe UI" w:hAnsi="Segoe UI" w:cs="Segoe UI"/>
          <w:b/>
          <w:color w:val="auto"/>
        </w:rPr>
        <w:t xml:space="preserve">at </w:t>
      </w:r>
      <w:r w:rsidRPr="00CA2ED5">
        <w:rPr>
          <w:rFonts w:ascii="Segoe UI" w:hAnsi="Segoe UI" w:cs="Segoe UI"/>
          <w:b/>
          <w:color w:val="auto"/>
        </w:rPr>
        <w:t xml:space="preserve">Central Valley </w:t>
      </w:r>
      <w:r w:rsidR="00D22BFB" w:rsidRPr="00CA2ED5">
        <w:rPr>
          <w:rFonts w:ascii="Segoe UI" w:hAnsi="Segoe UI" w:cs="Segoe UI"/>
          <w:b/>
          <w:color w:val="auto"/>
        </w:rPr>
        <w:t>specific data,</w:t>
      </w:r>
      <w:r w:rsidR="00D22BFB" w:rsidRPr="00CA2ED5">
        <w:rPr>
          <w:rFonts w:ascii="Segoe UI" w:hAnsi="Segoe UI" w:cs="Segoe UI"/>
          <w:color w:val="auto"/>
        </w:rPr>
        <w:t xml:space="preserve"> </w:t>
      </w:r>
      <w:r w:rsidR="00D22BFB" w:rsidRPr="00CA2ED5">
        <w:rPr>
          <w:rFonts w:ascii="Segoe UI" w:hAnsi="Segoe UI" w:cs="Segoe UI"/>
          <w:i/>
          <w:color w:val="auto"/>
        </w:rPr>
        <w:t xml:space="preserve">The </w:t>
      </w:r>
      <w:r w:rsidR="00D22BFB" w:rsidRPr="00D22BFB">
        <w:rPr>
          <w:rFonts w:ascii="Segoe UI" w:hAnsi="Segoe UI" w:cs="Segoe UI"/>
          <w:bCs/>
          <w:i/>
          <w:color w:val="auto"/>
        </w:rPr>
        <w:t>Regional Labor Market Assessment</w:t>
      </w:r>
      <w:r w:rsidR="00D22BFB" w:rsidRPr="00CA2ED5">
        <w:rPr>
          <w:rStyle w:val="FootnoteReference"/>
          <w:rFonts w:ascii="Segoe UI" w:hAnsi="Segoe UI" w:cs="Segoe UI"/>
          <w:bCs/>
          <w:color w:val="auto"/>
        </w:rPr>
        <w:footnoteReference w:id="4"/>
      </w:r>
      <w:r w:rsidR="00D22BFB" w:rsidRPr="00D22BFB">
        <w:rPr>
          <w:rFonts w:ascii="Segoe UI" w:hAnsi="Segoe UI" w:cs="Segoe UI"/>
          <w:bCs/>
          <w:color w:val="auto"/>
        </w:rPr>
        <w:t xml:space="preserve"> </w:t>
      </w:r>
      <w:r w:rsidR="00D22BFB" w:rsidRPr="00CA2ED5">
        <w:rPr>
          <w:rFonts w:ascii="Segoe UI" w:hAnsi="Segoe UI" w:cs="Segoe UI"/>
          <w:bCs/>
          <w:color w:val="auto"/>
        </w:rPr>
        <w:t>(</w:t>
      </w:r>
      <w:r w:rsidR="00D22BFB" w:rsidRPr="00CA2ED5">
        <w:rPr>
          <w:rFonts w:ascii="Segoe UI" w:hAnsi="Segoe UI" w:cs="Segoe UI"/>
          <w:color w:val="auto"/>
        </w:rPr>
        <w:t xml:space="preserve">Central Valley/Mother Lode Region) </w:t>
      </w:r>
      <w:r w:rsidR="00EF5E81" w:rsidRPr="00CA2ED5">
        <w:rPr>
          <w:rFonts w:ascii="Segoe UI" w:hAnsi="Segoe UI" w:cs="Segoe UI"/>
          <w:color w:val="auto"/>
        </w:rPr>
        <w:t>a report prepared by Centers of Excellence explains</w:t>
      </w:r>
      <w:r w:rsidR="00D22BFB" w:rsidRPr="00CA2ED5">
        <w:rPr>
          <w:rFonts w:ascii="Segoe UI" w:hAnsi="Segoe UI" w:cs="Segoe UI"/>
          <w:color w:val="auto"/>
        </w:rPr>
        <w:t xml:space="preserve"> employment estimates, five-year projected growth, as well as d</w:t>
      </w:r>
      <w:r w:rsidR="00AD205A" w:rsidRPr="00CA2ED5">
        <w:rPr>
          <w:rFonts w:ascii="Segoe UI" w:hAnsi="Segoe UI" w:cs="Segoe UI"/>
          <w:color w:val="auto"/>
        </w:rPr>
        <w:t>emand for replacement workers. Moreover, r</w:t>
      </w:r>
      <w:r w:rsidR="00D22BFB" w:rsidRPr="00CA2ED5">
        <w:rPr>
          <w:rFonts w:ascii="Segoe UI" w:hAnsi="Segoe UI" w:cs="Segoe UI"/>
          <w:color w:val="auto"/>
        </w:rPr>
        <w:t>eplacement estimates include retirements and general separations, but not turnove</w:t>
      </w:r>
      <w:r w:rsidR="00AD205A" w:rsidRPr="00CA2ED5">
        <w:rPr>
          <w:rFonts w:ascii="Segoe UI" w:hAnsi="Segoe UI" w:cs="Segoe UI"/>
          <w:color w:val="auto"/>
        </w:rPr>
        <w:t xml:space="preserve">r within the occupation. Therefore, job openings, combining </w:t>
      </w:r>
      <w:r w:rsidR="00D22BFB" w:rsidRPr="00CA2ED5">
        <w:rPr>
          <w:rFonts w:ascii="Segoe UI" w:hAnsi="Segoe UI" w:cs="Segoe UI"/>
          <w:color w:val="auto"/>
        </w:rPr>
        <w:t>replacements and new job growth, is a good measure of demand for workers</w:t>
      </w:r>
      <w:r w:rsidR="00EF5E81" w:rsidRPr="00CA2ED5">
        <w:rPr>
          <w:rFonts w:ascii="Segoe UI" w:hAnsi="Segoe UI" w:cs="Segoe UI"/>
          <w:color w:val="auto"/>
        </w:rPr>
        <w:t>.</w:t>
      </w:r>
      <w:r w:rsidR="00034435">
        <w:rPr>
          <w:rFonts w:ascii="Segoe UI" w:hAnsi="Segoe UI" w:cs="Segoe UI"/>
          <w:color w:val="auto"/>
        </w:rPr>
        <w:t xml:space="preserve">  As you can see a 4% increase is currently expected. </w:t>
      </w:r>
    </w:p>
    <w:p w:rsidR="00EF5E81" w:rsidRPr="00CA2ED5" w:rsidRDefault="00034435" w:rsidP="00EF5E81">
      <w:pPr>
        <w:pStyle w:val="Default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771525" cy="16478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647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6398FF" id="Oval 2" o:spid="_x0000_s1026" style="position:absolute;margin-left:261.75pt;margin-top:1.15pt;width:60.75pt;height:12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" filled="f" strokecolor="#c00000" strokeweight="2.25pt">
                <v:stroke joinstyle="miter"/>
              </v:oval>
            </w:pict>
          </mc:Fallback>
        </mc:AlternateContent>
      </w:r>
    </w:p>
    <w:p w:rsidR="00D22BFB" w:rsidRPr="00CA2ED5" w:rsidRDefault="00D22BFB" w:rsidP="00EF5E81">
      <w:pPr>
        <w:pStyle w:val="Default"/>
        <w:jc w:val="both"/>
        <w:rPr>
          <w:rFonts w:ascii="Segoe UI" w:hAnsi="Segoe UI" w:cs="Segoe UI"/>
          <w:color w:val="auto"/>
        </w:rPr>
      </w:pPr>
      <w:r w:rsidRPr="00CA2ED5">
        <w:rPr>
          <w:rFonts w:ascii="Segoe UI" w:hAnsi="Segoe UI" w:cs="Segoe UI"/>
          <w:b/>
          <w:bCs/>
        </w:rPr>
        <w:t>Five-Year Projections for Life, Physical and Social Science Occupations</w:t>
      </w:r>
      <w:r w:rsidR="00406D09" w:rsidRPr="00CA2ED5">
        <w:rPr>
          <w:rFonts w:ascii="Segoe UI" w:hAnsi="Segoe UI" w:cs="Segoe UI"/>
          <w:b/>
          <w:bCs/>
        </w:rPr>
        <w:t xml:space="preserve">: 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373"/>
        <w:gridCol w:w="1220"/>
        <w:gridCol w:w="1341"/>
        <w:gridCol w:w="1341"/>
        <w:gridCol w:w="1341"/>
        <w:gridCol w:w="1341"/>
      </w:tblGrid>
      <w:tr w:rsidR="00D22BFB" w:rsidRPr="00D22BFB" w:rsidTr="00D22BFB">
        <w:trPr>
          <w:trHeight w:val="323"/>
        </w:trPr>
        <w:tc>
          <w:tcPr>
            <w:tcW w:w="1327" w:type="dxa"/>
            <w:shd w:val="clear" w:color="auto" w:fill="171717" w:themeFill="background2" w:themeFillShade="1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</w:rPr>
              <w:t xml:space="preserve">Occupations SOC </w:t>
            </w:r>
          </w:p>
        </w:tc>
        <w:tc>
          <w:tcPr>
            <w:tcW w:w="1373" w:type="dxa"/>
            <w:shd w:val="clear" w:color="auto" w:fill="171717" w:themeFill="background2" w:themeFillShade="1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</w:rPr>
              <w:t xml:space="preserve">Occupation </w:t>
            </w:r>
          </w:p>
        </w:tc>
        <w:tc>
          <w:tcPr>
            <w:tcW w:w="1220" w:type="dxa"/>
            <w:shd w:val="clear" w:color="auto" w:fill="171717" w:themeFill="background2" w:themeFillShade="1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</w:rPr>
              <w:t xml:space="preserve">2015 Jobs </w:t>
            </w:r>
          </w:p>
        </w:tc>
        <w:tc>
          <w:tcPr>
            <w:tcW w:w="1341" w:type="dxa"/>
            <w:shd w:val="clear" w:color="auto" w:fill="171717" w:themeFill="background2" w:themeFillShade="1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</w:rPr>
              <w:t xml:space="preserve">5-Yr Change </w:t>
            </w:r>
          </w:p>
        </w:tc>
        <w:tc>
          <w:tcPr>
            <w:tcW w:w="1341" w:type="dxa"/>
            <w:shd w:val="clear" w:color="auto" w:fill="171717" w:themeFill="background2" w:themeFillShade="1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</w:rPr>
              <w:t xml:space="preserve">5-Yr % Change </w:t>
            </w:r>
          </w:p>
        </w:tc>
        <w:tc>
          <w:tcPr>
            <w:tcW w:w="1341" w:type="dxa"/>
            <w:shd w:val="clear" w:color="auto" w:fill="171717" w:themeFill="background2" w:themeFillShade="1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</w:rPr>
              <w:t xml:space="preserve">5-Yr Re-placements </w:t>
            </w:r>
          </w:p>
        </w:tc>
        <w:tc>
          <w:tcPr>
            <w:tcW w:w="1341" w:type="dxa"/>
            <w:shd w:val="clear" w:color="auto" w:fill="171717" w:themeFill="background2" w:themeFillShade="1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</w:rPr>
              <w:t xml:space="preserve">Annual Openings </w:t>
            </w:r>
          </w:p>
        </w:tc>
      </w:tr>
      <w:tr w:rsidR="00D22BFB" w:rsidRPr="00D22BFB" w:rsidTr="00D22BFB">
        <w:trPr>
          <w:trHeight w:val="169"/>
        </w:trPr>
        <w:tc>
          <w:tcPr>
            <w:tcW w:w="1327" w:type="dx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19-4011 </w:t>
            </w:r>
          </w:p>
        </w:tc>
        <w:tc>
          <w:tcPr>
            <w:tcW w:w="1373" w:type="dx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Agricultural and Food Science Technicians </w:t>
            </w:r>
          </w:p>
        </w:tc>
        <w:tc>
          <w:tcPr>
            <w:tcW w:w="1220" w:type="dx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821 </w:t>
            </w:r>
          </w:p>
        </w:tc>
        <w:tc>
          <w:tcPr>
            <w:tcW w:w="1341" w:type="dx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341" w:type="dx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4% </w:t>
            </w:r>
          </w:p>
        </w:tc>
        <w:tc>
          <w:tcPr>
            <w:tcW w:w="1341" w:type="dx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1341" w:type="dxa"/>
          </w:tcPr>
          <w:p w:rsidR="00D22BFB" w:rsidRPr="00D22BFB" w:rsidRDefault="00D22BFB" w:rsidP="00D2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36 </w:t>
            </w:r>
          </w:p>
        </w:tc>
      </w:tr>
    </w:tbl>
    <w:p w:rsidR="003A2163" w:rsidRPr="00CA2ED5" w:rsidRDefault="003A2163" w:rsidP="001B2150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val="en"/>
        </w:rPr>
      </w:pPr>
    </w:p>
    <w:p w:rsidR="00CA2ED5" w:rsidRDefault="00CA2ED5" w:rsidP="00406D09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"/>
        </w:rPr>
        <w:t>Section II: Wages</w:t>
      </w:r>
      <w:r w:rsidR="00406D09" w:rsidRPr="00CA2ED5">
        <w:rPr>
          <w:rFonts w:ascii="Segoe UI" w:hAnsi="Segoe UI" w:cs="Segoe UI"/>
          <w:b/>
          <w:color w:val="000000"/>
          <w:sz w:val="24"/>
          <w:szCs w:val="24"/>
          <w:lang w:val="en"/>
        </w:rPr>
        <w:t xml:space="preserve"> </w:t>
      </w:r>
    </w:p>
    <w:p w:rsidR="00034435" w:rsidRPr="00CA2ED5" w:rsidRDefault="00034435" w:rsidP="00406D09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"/>
        </w:rPr>
      </w:pPr>
    </w:p>
    <w:p w:rsidR="003A2163" w:rsidRPr="00CA2ED5" w:rsidRDefault="00406D09" w:rsidP="00406D09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"/>
        </w:rPr>
      </w:pP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>The Centers of Excellence states that a livable</w:t>
      </w:r>
      <w:r w:rsidR="003A2163"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 wage</w:t>
      </w: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 in the Central Valley for one adult is </w:t>
      </w:r>
      <w:r w:rsidRPr="00CA2ED5">
        <w:rPr>
          <w:rFonts w:ascii="Segoe UI" w:hAnsi="Segoe UI" w:cs="Segoe UI"/>
          <w:b/>
          <w:color w:val="000000"/>
          <w:sz w:val="24"/>
          <w:szCs w:val="24"/>
          <w:lang w:val="en"/>
        </w:rPr>
        <w:t>$10.64</w:t>
      </w: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>. That i</w:t>
      </w:r>
      <w:r w:rsidR="003A2163"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s an important </w:t>
      </w: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>detail when considering new program implementation.</w:t>
      </w:r>
      <w:r w:rsidR="003A2163"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  </w:t>
      </w:r>
    </w:p>
    <w:p w:rsidR="003A2163" w:rsidRPr="00CA2ED5" w:rsidRDefault="003A2163" w:rsidP="00406D0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val="en"/>
        </w:rPr>
      </w:pPr>
    </w:p>
    <w:p w:rsidR="001B2150" w:rsidRPr="00CA2ED5" w:rsidRDefault="00A31100" w:rsidP="00406D09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>The table below lists w</w:t>
      </w:r>
      <w:r w:rsidR="00B3029C"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ages for </w:t>
      </w:r>
      <w:r w:rsidR="00B3029C" w:rsidRPr="00034435">
        <w:rPr>
          <w:rFonts w:ascii="Segoe UI" w:hAnsi="Segoe UI" w:cs="Segoe UI"/>
          <w:i/>
          <w:color w:val="000000"/>
          <w:sz w:val="24"/>
          <w:szCs w:val="24"/>
          <w:lang w:val="en"/>
        </w:rPr>
        <w:t>Agricultural and Food Science Technicians</w:t>
      </w:r>
      <w:r w:rsidR="00B3029C"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 in California</w:t>
      </w:r>
      <w:r w:rsidR="00034435">
        <w:rPr>
          <w:rFonts w:ascii="Segoe UI" w:hAnsi="Segoe UI" w:cs="Segoe UI"/>
          <w:color w:val="000000"/>
          <w:sz w:val="24"/>
          <w:szCs w:val="24"/>
          <w:lang w:val="en"/>
        </w:rPr>
        <w:t>.</w:t>
      </w: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 </w:t>
      </w:r>
      <w:r w:rsidR="00034435" w:rsidRPr="00CA2ED5">
        <w:rPr>
          <w:rFonts w:ascii="Segoe UI" w:hAnsi="Segoe UI" w:cs="Segoe UI"/>
          <w:color w:val="000000"/>
          <w:sz w:val="24"/>
          <w:szCs w:val="24"/>
          <w:lang w:val="en"/>
        </w:rPr>
        <w:t>Below</w:t>
      </w: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 are </w:t>
      </w:r>
      <w:r w:rsidR="003427B2" w:rsidRPr="00CA2ED5">
        <w:rPr>
          <w:rFonts w:ascii="Segoe UI" w:hAnsi="Segoe UI" w:cs="Segoe UI"/>
          <w:color w:val="000000"/>
          <w:sz w:val="24"/>
          <w:szCs w:val="24"/>
          <w:lang w:val="en"/>
        </w:rPr>
        <w:t>a couple</w:t>
      </w: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 Central</w:t>
      </w:r>
      <w:r w:rsidR="004D7B9B"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 Valley data-sets </w:t>
      </w:r>
      <w:r w:rsidR="004E13E0"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provided by </w:t>
      </w: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careersonestop.com </w:t>
      </w:r>
      <w:r w:rsidR="004E13E0" w:rsidRPr="00CA2ED5">
        <w:rPr>
          <w:rFonts w:ascii="Segoe UI" w:hAnsi="Segoe UI" w:cs="Segoe UI"/>
          <w:color w:val="000000"/>
          <w:sz w:val="24"/>
          <w:szCs w:val="24"/>
          <w:lang w:val="en"/>
        </w:rPr>
        <w:t>(</w:t>
      </w: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>sponsored by the US Department of Labor</w:t>
      </w:r>
      <w:r w:rsidR="00B3029C" w:rsidRPr="00CA2ED5">
        <w:rPr>
          <w:rStyle w:val="FootnoteReference"/>
          <w:rFonts w:ascii="Segoe UI" w:hAnsi="Segoe UI" w:cs="Segoe UI"/>
          <w:b/>
          <w:sz w:val="24"/>
          <w:szCs w:val="24"/>
        </w:rPr>
        <w:footnoteReference w:id="5"/>
      </w:r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>)</w:t>
      </w:r>
      <w:proofErr w:type="gramStart"/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>.</w:t>
      </w:r>
      <w:proofErr w:type="gramEnd"/>
      <w:r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 The hourly</w:t>
      </w:r>
      <w:r w:rsidR="004E13E0"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 </w:t>
      </w:r>
      <w:r w:rsidR="004D7B9B" w:rsidRPr="00CA2ED5">
        <w:rPr>
          <w:rFonts w:ascii="Segoe UI" w:hAnsi="Segoe UI" w:cs="Segoe UI"/>
          <w:color w:val="000000"/>
          <w:sz w:val="24"/>
          <w:szCs w:val="24"/>
          <w:lang w:val="en"/>
        </w:rPr>
        <w:t xml:space="preserve">wage at the tenth percentile </w:t>
      </w:r>
      <w:r w:rsidR="004E13E0" w:rsidRPr="00CA2ED5">
        <w:rPr>
          <w:rFonts w:ascii="Segoe UI" w:hAnsi="Segoe UI" w:cs="Segoe UI"/>
          <w:color w:val="000000"/>
          <w:sz w:val="24"/>
          <w:szCs w:val="24"/>
          <w:lang w:val="en"/>
        </w:rPr>
        <w:t>exceeds the livable wage</w:t>
      </w:r>
      <w:r w:rsidR="005555D2" w:rsidRPr="00CA2ED5">
        <w:rPr>
          <w:rFonts w:ascii="Segoe UI" w:hAnsi="Segoe UI" w:cs="Segoe UI"/>
          <w:b/>
          <w:sz w:val="24"/>
          <w:szCs w:val="24"/>
        </w:rPr>
        <w:t xml:space="preserve">: </w:t>
      </w:r>
      <w:r w:rsidR="005E1C38" w:rsidRPr="00CA2ED5">
        <w:rPr>
          <w:rFonts w:ascii="Segoe UI" w:hAnsi="Segoe UI" w:cs="Segoe UI"/>
          <w:b/>
          <w:sz w:val="24"/>
          <w:szCs w:val="24"/>
        </w:rPr>
        <w:t xml:space="preserve"> </w:t>
      </w:r>
    </w:p>
    <w:p w:rsidR="004D7B9B" w:rsidRDefault="004D7B9B" w:rsidP="00406D09">
      <w:pPr>
        <w:spacing w:after="0" w:line="240" w:lineRule="auto"/>
        <w:jc w:val="both"/>
        <w:rPr>
          <w:rFonts w:ascii="Segoe UI" w:hAnsi="Segoe UI" w:cs="Segoe UI"/>
          <w:b/>
          <w:sz w:val="21"/>
          <w:szCs w:val="21"/>
        </w:rPr>
      </w:pPr>
    </w:p>
    <w:tbl>
      <w:tblPr>
        <w:tblW w:w="9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1387"/>
        <w:gridCol w:w="965"/>
        <w:gridCol w:w="965"/>
        <w:gridCol w:w="989"/>
        <w:gridCol w:w="965"/>
        <w:gridCol w:w="965"/>
      </w:tblGrid>
      <w:tr w:rsidR="00B3029C" w:rsidTr="00034435">
        <w:trPr>
          <w:trHeight w:val="353"/>
        </w:trPr>
        <w:tc>
          <w:tcPr>
            <w:tcW w:w="941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29C" w:rsidRPr="00145E39" w:rsidRDefault="00CA2ED5" w:rsidP="00B3029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2017 </w:t>
            </w:r>
            <w:r w:rsidR="00B3029C" w:rsidRPr="00145E3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Available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Workforce - </w:t>
            </w:r>
            <w:r w:rsidRPr="00145E39">
              <w:rPr>
                <w:rFonts w:ascii="Segoe UI" w:hAnsi="Segoe UI" w:cs="Segoe UI"/>
                <w:b/>
                <w:bCs/>
                <w:sz w:val="20"/>
                <w:szCs w:val="20"/>
              </w:rPr>
              <w:t>Wages for Agricultural and Food Science Technicians in California</w:t>
            </w:r>
          </w:p>
        </w:tc>
      </w:tr>
      <w:tr w:rsidR="00CA2ED5" w:rsidTr="00D370FF">
        <w:trPr>
          <w:trHeight w:val="3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29C" w:rsidRPr="00145E39" w:rsidRDefault="00CA2ED5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b/>
                <w:bCs/>
                <w:sz w:val="20"/>
                <w:szCs w:val="20"/>
              </w:rPr>
              <w:t>Pay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CB9C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b/>
                <w:bCs/>
                <w:sz w:val="20"/>
                <w:szCs w:val="20"/>
              </w:rPr>
              <w:t>90%</w:t>
            </w:r>
          </w:p>
        </w:tc>
      </w:tr>
      <w:tr w:rsidR="00CA2ED5" w:rsidTr="00D370FF">
        <w:trPr>
          <w:trHeight w:val="35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Hourly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$12.67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$15.42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$19.19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$24.00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$30.16</w:t>
            </w:r>
          </w:p>
        </w:tc>
      </w:tr>
      <w:tr w:rsidR="00CA2ED5" w:rsidTr="00D370FF">
        <w:trPr>
          <w:trHeight w:val="3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Yearly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$26,350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$32,070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$39,910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$49,920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$62,740</w:t>
            </w:r>
          </w:p>
        </w:tc>
      </w:tr>
      <w:tr w:rsidR="00CA2ED5" w:rsidTr="00D370FF">
        <w:trPr>
          <w:trHeight w:val="35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b/>
                <w:bCs/>
                <w:sz w:val="20"/>
                <w:szCs w:val="20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Hourly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$12.77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$15.88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$20.16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$24.49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$29.50</w:t>
            </w:r>
          </w:p>
        </w:tc>
      </w:tr>
      <w:tr w:rsidR="00CA2ED5" w:rsidTr="00D370FF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Yearly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$26,560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$33,040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$41,940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$50,930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i/>
                <w:iCs/>
                <w:sz w:val="20"/>
                <w:szCs w:val="20"/>
              </w:rPr>
              <w:t>$61,370</w:t>
            </w:r>
          </w:p>
        </w:tc>
      </w:tr>
      <w:tr w:rsidR="00CA2ED5" w:rsidTr="00D370FF">
        <w:trPr>
          <w:trHeight w:val="35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Visalia-Porterville, CA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A31100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31100">
              <w:rPr>
                <w:rFonts w:ascii="Segoe UI" w:hAnsi="Segoe UI" w:cs="Segoe UI"/>
                <w:b/>
                <w:sz w:val="20"/>
                <w:szCs w:val="20"/>
              </w:rPr>
              <w:t>Hourly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A31100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31100">
              <w:rPr>
                <w:rFonts w:ascii="Segoe UI" w:hAnsi="Segoe UI" w:cs="Segoe UI"/>
                <w:b/>
                <w:sz w:val="20"/>
                <w:szCs w:val="20"/>
              </w:rPr>
              <w:t>$11.95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$14.81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$20.39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$23.70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603B3D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03B3D">
              <w:rPr>
                <w:rFonts w:ascii="Segoe UI" w:hAnsi="Segoe UI" w:cs="Segoe UI"/>
                <w:b/>
                <w:sz w:val="20"/>
                <w:szCs w:val="20"/>
              </w:rPr>
              <w:t>$27.27</w:t>
            </w:r>
          </w:p>
        </w:tc>
      </w:tr>
      <w:tr w:rsidR="00CA2ED5" w:rsidTr="00D370FF">
        <w:trPr>
          <w:trHeight w:val="3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Yearly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$24,860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$30,800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$42,420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$49,290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$56,720</w:t>
            </w:r>
          </w:p>
        </w:tc>
      </w:tr>
      <w:tr w:rsidR="00CA2ED5" w:rsidTr="00D370FF">
        <w:trPr>
          <w:trHeight w:val="35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Fresno, CA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A31100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31100">
              <w:rPr>
                <w:rFonts w:ascii="Segoe UI" w:hAnsi="Segoe UI" w:cs="Segoe UI"/>
                <w:b/>
                <w:sz w:val="20"/>
                <w:szCs w:val="20"/>
              </w:rPr>
              <w:t>Hourly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A31100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31100">
              <w:rPr>
                <w:rFonts w:ascii="Segoe UI" w:hAnsi="Segoe UI" w:cs="Segoe UI"/>
                <w:b/>
                <w:sz w:val="20"/>
                <w:szCs w:val="20"/>
              </w:rPr>
              <w:t>$11.79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$16.07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$18.39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$22.52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603B3D" w:rsidRDefault="00B3029C" w:rsidP="00CA2ED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03B3D">
              <w:rPr>
                <w:rFonts w:ascii="Segoe UI" w:hAnsi="Segoe UI" w:cs="Segoe UI"/>
                <w:b/>
                <w:sz w:val="20"/>
                <w:szCs w:val="20"/>
              </w:rPr>
              <w:t>$27.41</w:t>
            </w:r>
          </w:p>
        </w:tc>
      </w:tr>
      <w:tr w:rsidR="00CA2ED5" w:rsidTr="00D370FF">
        <w:trPr>
          <w:trHeight w:val="3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Yearly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$24,530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$33,420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$38,250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$46,840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29C" w:rsidRPr="00145E39" w:rsidRDefault="00B3029C" w:rsidP="00CA2E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5E39">
              <w:rPr>
                <w:rFonts w:ascii="Segoe UI" w:hAnsi="Segoe UI" w:cs="Segoe UI"/>
                <w:sz w:val="20"/>
                <w:szCs w:val="20"/>
              </w:rPr>
              <w:t>$57,010</w:t>
            </w:r>
          </w:p>
        </w:tc>
      </w:tr>
    </w:tbl>
    <w:p w:rsidR="003427B2" w:rsidRPr="00CA2ED5" w:rsidRDefault="003427B2" w:rsidP="0016038A">
      <w:pPr>
        <w:rPr>
          <w:rFonts w:ascii="Segoe UI" w:hAnsi="Segoe UI" w:cs="Segoe UI"/>
          <w:noProof/>
          <w:sz w:val="24"/>
          <w:szCs w:val="24"/>
        </w:rPr>
      </w:pPr>
      <w:r w:rsidRPr="00CA2ED5">
        <w:rPr>
          <w:rFonts w:ascii="Segoe UI" w:hAnsi="Segoe UI" w:cs="Segoe UI"/>
          <w:noProof/>
          <w:sz w:val="24"/>
          <w:szCs w:val="24"/>
        </w:rPr>
        <w:lastRenderedPageBreak/>
        <w:t>When comparing data with the Centers of Excellence</w:t>
      </w:r>
      <w:r w:rsidRPr="00CA2ED5">
        <w:rPr>
          <w:rStyle w:val="FootnoteReference"/>
          <w:rFonts w:ascii="Segoe UI" w:hAnsi="Segoe UI" w:cs="Segoe UI"/>
          <w:noProof/>
          <w:sz w:val="24"/>
          <w:szCs w:val="24"/>
        </w:rPr>
        <w:footnoteReference w:id="6"/>
      </w:r>
      <w:r w:rsidRPr="00CA2ED5">
        <w:rPr>
          <w:rFonts w:ascii="Segoe UI" w:hAnsi="Segoe UI" w:cs="Segoe UI"/>
          <w:noProof/>
          <w:sz w:val="24"/>
          <w:szCs w:val="24"/>
        </w:rPr>
        <w:t xml:space="preserve">, </w:t>
      </w:r>
      <w:r w:rsidR="00603B3D" w:rsidRPr="00CA2ED5">
        <w:rPr>
          <w:rFonts w:ascii="Segoe UI" w:hAnsi="Segoe UI" w:cs="Segoe UI"/>
          <w:noProof/>
          <w:sz w:val="24"/>
          <w:szCs w:val="24"/>
        </w:rPr>
        <w:t xml:space="preserve">a summary of all Central Valley data, </w:t>
      </w:r>
      <w:r w:rsidRPr="00CA2ED5">
        <w:rPr>
          <w:rFonts w:ascii="Segoe UI" w:hAnsi="Segoe UI" w:cs="Segoe UI"/>
          <w:noProof/>
          <w:sz w:val="24"/>
          <w:szCs w:val="24"/>
        </w:rPr>
        <w:t>the data confirms that the bottom tenth percentile is above liveable wage</w:t>
      </w:r>
      <w:r w:rsidR="0064491A">
        <w:rPr>
          <w:rFonts w:ascii="Segoe UI" w:hAnsi="Segoe UI" w:cs="Segoe UI"/>
          <w:noProof/>
          <w:sz w:val="24"/>
          <w:szCs w:val="24"/>
        </w:rPr>
        <w:t>,</w:t>
      </w:r>
      <w:r w:rsidR="00034435">
        <w:rPr>
          <w:rFonts w:ascii="Segoe UI" w:hAnsi="Segoe UI" w:cs="Segoe UI"/>
          <w:noProof/>
          <w:sz w:val="24"/>
          <w:szCs w:val="24"/>
        </w:rPr>
        <w:t xml:space="preserve"> </w:t>
      </w:r>
      <w:r w:rsidR="009102E5">
        <w:rPr>
          <w:rFonts w:ascii="Segoe UI" w:hAnsi="Segoe UI" w:cs="Segoe UI"/>
          <w:noProof/>
          <w:sz w:val="24"/>
          <w:szCs w:val="24"/>
        </w:rPr>
        <w:t xml:space="preserve">and amongst </w:t>
      </w:r>
      <w:r w:rsidR="00034435">
        <w:rPr>
          <w:rFonts w:ascii="Segoe UI" w:hAnsi="Segoe UI" w:cs="Segoe UI"/>
          <w:noProof/>
          <w:sz w:val="24"/>
          <w:szCs w:val="24"/>
        </w:rPr>
        <w:t>experience</w:t>
      </w:r>
      <w:r w:rsidR="009102E5">
        <w:rPr>
          <w:rFonts w:ascii="Segoe UI" w:hAnsi="Segoe UI" w:cs="Segoe UI"/>
          <w:noProof/>
          <w:sz w:val="24"/>
          <w:szCs w:val="24"/>
        </w:rPr>
        <w:t>d</w:t>
      </w:r>
      <w:r w:rsidR="00034435">
        <w:rPr>
          <w:rFonts w:ascii="Segoe UI" w:hAnsi="Segoe UI" w:cs="Segoe UI"/>
          <w:noProof/>
          <w:sz w:val="24"/>
          <w:szCs w:val="24"/>
        </w:rPr>
        <w:t xml:space="preserve"> wages (median</w:t>
      </w:r>
      <w:r w:rsidR="009102E5">
        <w:rPr>
          <w:rFonts w:ascii="Segoe UI" w:hAnsi="Segoe UI" w:cs="Segoe UI"/>
          <w:noProof/>
          <w:sz w:val="24"/>
          <w:szCs w:val="24"/>
        </w:rPr>
        <w:t>)</w:t>
      </w:r>
      <w:r w:rsidR="00A73781">
        <w:rPr>
          <w:rFonts w:ascii="Segoe UI" w:hAnsi="Segoe UI" w:cs="Segoe UI"/>
          <w:noProof/>
          <w:sz w:val="24"/>
          <w:szCs w:val="24"/>
        </w:rPr>
        <w:t xml:space="preserve"> </w:t>
      </w:r>
      <w:r w:rsidR="0064491A">
        <w:rPr>
          <w:rFonts w:ascii="Segoe UI" w:hAnsi="Segoe UI" w:cs="Segoe UI"/>
          <w:noProof/>
          <w:sz w:val="24"/>
          <w:szCs w:val="24"/>
        </w:rPr>
        <w:t xml:space="preserve">reaching </w:t>
      </w:r>
      <w:r w:rsidR="00A73781">
        <w:rPr>
          <w:rFonts w:ascii="Segoe UI" w:hAnsi="Segoe UI" w:cs="Segoe UI"/>
          <w:noProof/>
          <w:sz w:val="24"/>
          <w:szCs w:val="24"/>
        </w:rPr>
        <w:t>$16.34.</w:t>
      </w:r>
    </w:p>
    <w:p w:rsidR="00965B04" w:rsidRPr="00CA2ED5" w:rsidRDefault="00A31100" w:rsidP="0016038A">
      <w:pPr>
        <w:rPr>
          <w:rFonts w:ascii="Segoe UI" w:hAnsi="Segoe UI" w:cs="Segoe UI"/>
          <w:noProof/>
          <w:sz w:val="24"/>
          <w:szCs w:val="24"/>
        </w:rPr>
      </w:pPr>
      <w:r w:rsidRPr="00CA2ED5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62C77F43" wp14:editId="583D3E5C">
            <wp:extent cx="5943600" cy="523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638" w:rsidRPr="006D7211" w:rsidRDefault="00B67E2D" w:rsidP="00015638">
      <w:pPr>
        <w:rPr>
          <w:rFonts w:ascii="Segoe UI" w:hAnsi="Segoe UI" w:cs="Segoe UI"/>
          <w:b/>
          <w:sz w:val="24"/>
          <w:szCs w:val="24"/>
        </w:rPr>
      </w:pPr>
      <w:r w:rsidRPr="006D7211">
        <w:rPr>
          <w:rFonts w:ascii="Segoe UI" w:hAnsi="Segoe UI" w:cs="Segoe UI"/>
          <w:b/>
          <w:sz w:val="24"/>
          <w:szCs w:val="24"/>
        </w:rPr>
        <w:t>Section I</w:t>
      </w:r>
      <w:r w:rsidR="006D7211">
        <w:rPr>
          <w:rFonts w:ascii="Segoe UI" w:hAnsi="Segoe UI" w:cs="Segoe UI"/>
          <w:b/>
          <w:sz w:val="24"/>
          <w:szCs w:val="24"/>
        </w:rPr>
        <w:t>I</w:t>
      </w:r>
      <w:r w:rsidR="00976DD0" w:rsidRPr="006D7211">
        <w:rPr>
          <w:rFonts w:ascii="Segoe UI" w:hAnsi="Segoe UI" w:cs="Segoe UI"/>
          <w:b/>
          <w:sz w:val="24"/>
          <w:szCs w:val="24"/>
        </w:rPr>
        <w:t xml:space="preserve">I: </w:t>
      </w:r>
      <w:r w:rsidR="006D7211">
        <w:rPr>
          <w:rFonts w:ascii="Segoe UI" w:hAnsi="Segoe UI" w:cs="Segoe UI"/>
          <w:b/>
          <w:sz w:val="24"/>
          <w:szCs w:val="24"/>
        </w:rPr>
        <w:t>Job Description</w:t>
      </w:r>
      <w:r w:rsidRPr="006D7211">
        <w:rPr>
          <w:rFonts w:ascii="Segoe UI" w:hAnsi="Segoe UI" w:cs="Segoe UI"/>
          <w:b/>
          <w:sz w:val="24"/>
          <w:szCs w:val="24"/>
        </w:rPr>
        <w:t xml:space="preserve">, </w:t>
      </w:r>
      <w:r w:rsidR="00ED2CFD" w:rsidRPr="006D7211">
        <w:rPr>
          <w:rFonts w:ascii="Segoe UI" w:hAnsi="Segoe UI" w:cs="Segoe UI"/>
          <w:b/>
          <w:sz w:val="24"/>
          <w:szCs w:val="24"/>
        </w:rPr>
        <w:t xml:space="preserve">Knowledge &amp; Skills </w:t>
      </w:r>
    </w:p>
    <w:p w:rsidR="006D7211" w:rsidRPr="006D7211" w:rsidRDefault="006D7211" w:rsidP="00015638">
      <w:pPr>
        <w:rPr>
          <w:rFonts w:ascii="Segoe UI" w:hAnsi="Segoe UI" w:cs="Segoe UI"/>
          <w:b/>
          <w:sz w:val="24"/>
          <w:szCs w:val="24"/>
        </w:rPr>
      </w:pPr>
      <w:r w:rsidRPr="00CA2ED5">
        <w:rPr>
          <w:rFonts w:ascii="Segoe UI" w:hAnsi="Segoe UI" w:cs="Segoe UI"/>
          <w:bCs/>
          <w:sz w:val="24"/>
          <w:szCs w:val="24"/>
        </w:rPr>
        <w:t xml:space="preserve">According to </w:t>
      </w:r>
      <w:r w:rsidRPr="00CA2ED5">
        <w:rPr>
          <w:rFonts w:ascii="Segoe UI" w:hAnsi="Segoe UI" w:cs="Segoe UI"/>
          <w:bCs/>
          <w:i/>
          <w:sz w:val="24"/>
          <w:szCs w:val="24"/>
        </w:rPr>
        <w:t>Occupational Analysis of the Present and Future Food Safety Workforces</w:t>
      </w:r>
      <w:r w:rsidRPr="00CA2ED5">
        <w:rPr>
          <w:rStyle w:val="FootnoteReference"/>
          <w:rFonts w:ascii="Segoe UI" w:hAnsi="Segoe UI" w:cs="Segoe UI"/>
          <w:bCs/>
          <w:i/>
          <w:sz w:val="24"/>
          <w:szCs w:val="24"/>
        </w:rPr>
        <w:footnoteReference w:id="7"/>
      </w:r>
      <w:r>
        <w:rPr>
          <w:rFonts w:ascii="Segoe UI" w:hAnsi="Segoe UI" w:cs="Segoe UI"/>
          <w:bCs/>
          <w:i/>
          <w:sz w:val="24"/>
          <w:szCs w:val="24"/>
        </w:rPr>
        <w:t>,</w:t>
      </w:r>
      <w:r>
        <w:rPr>
          <w:rFonts w:ascii="Segoe UI" w:hAnsi="Segoe UI" w:cs="Segoe UI"/>
          <w:b/>
          <w:bCs/>
          <w:sz w:val="24"/>
          <w:szCs w:val="24"/>
        </w:rPr>
        <w:t xml:space="preserve"> “</w:t>
      </w:r>
      <w:r w:rsidRPr="006D7211">
        <w:rPr>
          <w:rFonts w:ascii="Segoe UI" w:hAnsi="Segoe UI" w:cs="Segoe UI"/>
          <w:color w:val="221E1F"/>
          <w:sz w:val="24"/>
          <w:szCs w:val="24"/>
        </w:rPr>
        <w:t>Agricultural and food science technicians measure and analyze the quality of food and agricultural products, under the supervision of scientists. They work in offices, laboratories, and in processing plants.</w:t>
      </w:r>
      <w:r>
        <w:rPr>
          <w:rFonts w:ascii="Segoe UI" w:hAnsi="Segoe UI" w:cs="Segoe UI"/>
          <w:color w:val="221E1F"/>
          <w:sz w:val="24"/>
          <w:szCs w:val="24"/>
        </w:rPr>
        <w:t>”</w:t>
      </w:r>
    </w:p>
    <w:p w:rsidR="00344267" w:rsidRDefault="00344267" w:rsidP="00344267">
      <w:pPr>
        <w:autoSpaceDE w:val="0"/>
        <w:autoSpaceDN w:val="0"/>
        <w:adjustRightInd w:val="0"/>
        <w:spacing w:after="0" w:line="201" w:lineRule="atLeast"/>
        <w:rPr>
          <w:rFonts w:ascii="Segoe UI" w:hAnsi="Segoe UI" w:cs="Segoe UI"/>
          <w:b/>
          <w:bCs/>
          <w:sz w:val="24"/>
          <w:szCs w:val="24"/>
        </w:rPr>
      </w:pPr>
      <w:r w:rsidRPr="00344267">
        <w:rPr>
          <w:rFonts w:ascii="Segoe UI" w:hAnsi="Segoe UI" w:cs="Segoe UI"/>
          <w:bCs/>
          <w:i/>
          <w:sz w:val="24"/>
          <w:szCs w:val="24"/>
        </w:rPr>
        <w:t>Occupational Analysis of the Present and Future Food Safety Workforces</w:t>
      </w:r>
      <w:r w:rsidRPr="00CA2ED5">
        <w:rPr>
          <w:rStyle w:val="FootnoteReference"/>
          <w:rFonts w:ascii="Segoe UI" w:hAnsi="Segoe UI" w:cs="Segoe UI"/>
          <w:bCs/>
          <w:i/>
          <w:sz w:val="24"/>
          <w:szCs w:val="24"/>
        </w:rPr>
        <w:footnoteReference w:id="8"/>
      </w:r>
      <w:r w:rsidRPr="00344267">
        <w:rPr>
          <w:rFonts w:ascii="Segoe UI" w:hAnsi="Segoe UI" w:cs="Segoe UI"/>
          <w:bCs/>
          <w:i/>
          <w:sz w:val="24"/>
          <w:szCs w:val="24"/>
        </w:rPr>
        <w:t>,</w:t>
      </w:r>
      <w:r w:rsidRPr="00344267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also lists the following k</w:t>
      </w:r>
      <w:r w:rsidRPr="00344267">
        <w:rPr>
          <w:rFonts w:ascii="Segoe UI" w:hAnsi="Segoe UI" w:cs="Segoe UI"/>
          <w:bCs/>
          <w:sz w:val="24"/>
          <w:szCs w:val="24"/>
        </w:rPr>
        <w:t>nowledge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344267">
        <w:rPr>
          <w:rFonts w:ascii="Segoe UI" w:hAnsi="Segoe UI" w:cs="Segoe UI"/>
          <w:bCs/>
          <w:sz w:val="24"/>
          <w:szCs w:val="24"/>
        </w:rPr>
        <w:t>needed</w:t>
      </w:r>
      <w:r>
        <w:rPr>
          <w:rFonts w:ascii="Segoe UI" w:hAnsi="Segoe UI" w:cs="Segoe UI"/>
          <w:bCs/>
          <w:sz w:val="24"/>
          <w:szCs w:val="24"/>
        </w:rPr>
        <w:t xml:space="preserve"> for this position</w:t>
      </w:r>
      <w:r w:rsidRPr="00344267">
        <w:rPr>
          <w:rFonts w:ascii="Segoe UI" w:hAnsi="Segoe UI" w:cs="Segoe UI"/>
          <w:bCs/>
          <w:sz w:val="24"/>
          <w:szCs w:val="24"/>
        </w:rPr>
        <w:t xml:space="preserve">: </w:t>
      </w:r>
    </w:p>
    <w:p w:rsidR="00344267" w:rsidRPr="00344267" w:rsidRDefault="00344267" w:rsidP="003442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1" w:lineRule="atLeast"/>
        <w:rPr>
          <w:rFonts w:ascii="Segoe UI" w:hAnsi="Segoe UI" w:cs="Segoe UI"/>
          <w:color w:val="221E1F"/>
          <w:sz w:val="24"/>
          <w:szCs w:val="24"/>
        </w:rPr>
      </w:pPr>
      <w:r w:rsidRPr="00344267">
        <w:rPr>
          <w:rFonts w:ascii="Segoe UI" w:hAnsi="Segoe UI" w:cs="Segoe UI"/>
          <w:color w:val="221E1F"/>
          <w:sz w:val="24"/>
          <w:szCs w:val="24"/>
        </w:rPr>
        <w:t xml:space="preserve">Food safety </w:t>
      </w:r>
    </w:p>
    <w:p w:rsidR="006D7211" w:rsidRPr="00344267" w:rsidRDefault="00344267" w:rsidP="003442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rPr>
          <w:rFonts w:ascii="Segoe UI" w:hAnsi="Segoe UI" w:cs="Segoe UI"/>
          <w:color w:val="221E1F"/>
          <w:sz w:val="24"/>
          <w:szCs w:val="24"/>
        </w:rPr>
      </w:pPr>
      <w:r w:rsidRPr="00344267">
        <w:rPr>
          <w:rFonts w:ascii="Segoe UI" w:hAnsi="Segoe UI" w:cs="Segoe UI"/>
          <w:color w:val="221E1F"/>
          <w:sz w:val="24"/>
          <w:szCs w:val="24"/>
        </w:rPr>
        <w:t xml:space="preserve">Quality assurance </w:t>
      </w:r>
    </w:p>
    <w:p w:rsidR="00344267" w:rsidRDefault="00344267" w:rsidP="003442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rPr>
          <w:rFonts w:ascii="Segoe UI" w:hAnsi="Segoe UI" w:cs="Segoe UI"/>
          <w:color w:val="221E1F"/>
          <w:sz w:val="24"/>
          <w:szCs w:val="24"/>
        </w:rPr>
      </w:pPr>
      <w:r w:rsidRPr="00344267">
        <w:rPr>
          <w:rFonts w:ascii="Segoe UI" w:hAnsi="Segoe UI" w:cs="Segoe UI"/>
          <w:color w:val="221E1F"/>
          <w:sz w:val="24"/>
          <w:szCs w:val="24"/>
        </w:rPr>
        <w:t xml:space="preserve">Accountability </w:t>
      </w:r>
    </w:p>
    <w:p w:rsidR="006830A0" w:rsidRDefault="006830A0" w:rsidP="006830A0">
      <w:pPr>
        <w:pStyle w:val="ListParagraph"/>
        <w:numPr>
          <w:ilvl w:val="0"/>
          <w:numId w:val="7"/>
        </w:numPr>
        <w:rPr>
          <w:rFonts w:ascii="Segoe UI" w:hAnsi="Segoe UI" w:cs="Segoe UI"/>
          <w:color w:val="221E1F"/>
          <w:sz w:val="24"/>
          <w:szCs w:val="24"/>
        </w:rPr>
      </w:pPr>
      <w:r w:rsidRPr="00344267">
        <w:rPr>
          <w:rFonts w:ascii="Segoe UI" w:hAnsi="Segoe UI" w:cs="Segoe UI"/>
          <w:color w:val="221E1F"/>
          <w:sz w:val="24"/>
          <w:szCs w:val="24"/>
        </w:rPr>
        <w:t>L</w:t>
      </w:r>
      <w:r>
        <w:rPr>
          <w:rFonts w:ascii="Segoe UI" w:hAnsi="Segoe UI" w:cs="Segoe UI"/>
          <w:color w:val="221E1F"/>
          <w:sz w:val="24"/>
          <w:szCs w:val="24"/>
        </w:rPr>
        <w:t xml:space="preserve">aboratory skills </w:t>
      </w:r>
    </w:p>
    <w:p w:rsidR="006830A0" w:rsidRPr="00344267" w:rsidRDefault="006830A0" w:rsidP="006830A0">
      <w:pPr>
        <w:pStyle w:val="ListParagraph"/>
        <w:autoSpaceDE w:val="0"/>
        <w:autoSpaceDN w:val="0"/>
        <w:adjustRightInd w:val="0"/>
        <w:spacing w:after="0" w:line="201" w:lineRule="atLeast"/>
        <w:rPr>
          <w:rFonts w:ascii="Segoe UI" w:hAnsi="Segoe UI" w:cs="Segoe UI"/>
          <w:color w:val="221E1F"/>
          <w:sz w:val="24"/>
          <w:szCs w:val="24"/>
        </w:rPr>
      </w:pPr>
    </w:p>
    <w:p w:rsidR="00344267" w:rsidRDefault="00344267" w:rsidP="006D7211">
      <w:pPr>
        <w:autoSpaceDE w:val="0"/>
        <w:autoSpaceDN w:val="0"/>
        <w:adjustRightInd w:val="0"/>
        <w:spacing w:after="0" w:line="201" w:lineRule="atLeast"/>
        <w:rPr>
          <w:rFonts w:ascii="Segoe UI" w:hAnsi="Segoe UI" w:cs="Segoe UI"/>
          <w:color w:val="221E1F"/>
          <w:sz w:val="24"/>
          <w:szCs w:val="24"/>
        </w:rPr>
      </w:pPr>
    </w:p>
    <w:p w:rsidR="00344267" w:rsidRPr="006D7211" w:rsidRDefault="00344267" w:rsidP="006D7211">
      <w:pPr>
        <w:autoSpaceDE w:val="0"/>
        <w:autoSpaceDN w:val="0"/>
        <w:adjustRightInd w:val="0"/>
        <w:spacing w:after="0" w:line="201" w:lineRule="atLeast"/>
        <w:rPr>
          <w:rFonts w:ascii="Segoe UI" w:hAnsi="Segoe UI" w:cs="Segoe UI"/>
          <w:color w:val="221E1F"/>
          <w:sz w:val="24"/>
          <w:szCs w:val="24"/>
        </w:rPr>
      </w:pPr>
      <w:r>
        <w:rPr>
          <w:rFonts w:ascii="Segoe UI" w:hAnsi="Segoe UI" w:cs="Segoe UI"/>
          <w:color w:val="221E1F"/>
          <w:sz w:val="24"/>
          <w:szCs w:val="24"/>
        </w:rPr>
        <w:t xml:space="preserve">Skills needed: </w:t>
      </w:r>
    </w:p>
    <w:p w:rsidR="00344267" w:rsidRPr="00344267" w:rsidRDefault="00344267" w:rsidP="00344267">
      <w:pPr>
        <w:pStyle w:val="ListParagraph"/>
        <w:numPr>
          <w:ilvl w:val="0"/>
          <w:numId w:val="7"/>
        </w:numPr>
        <w:rPr>
          <w:rFonts w:ascii="Segoe UI" w:hAnsi="Segoe UI" w:cs="Segoe UI"/>
          <w:color w:val="221E1F"/>
          <w:sz w:val="24"/>
          <w:szCs w:val="24"/>
        </w:rPr>
      </w:pPr>
      <w:r>
        <w:rPr>
          <w:rFonts w:ascii="Segoe UI" w:hAnsi="Segoe UI" w:cs="Segoe UI"/>
          <w:color w:val="221E1F"/>
          <w:sz w:val="24"/>
          <w:szCs w:val="24"/>
        </w:rPr>
        <w:t>Critical thinking</w:t>
      </w:r>
      <w:r w:rsidRPr="00344267">
        <w:rPr>
          <w:rFonts w:ascii="Segoe UI" w:hAnsi="Segoe UI" w:cs="Segoe UI"/>
          <w:color w:val="221E1F"/>
          <w:sz w:val="24"/>
          <w:szCs w:val="24"/>
        </w:rPr>
        <w:t xml:space="preserve"> </w:t>
      </w:r>
    </w:p>
    <w:p w:rsidR="00344267" w:rsidRDefault="00344267" w:rsidP="00344267">
      <w:pPr>
        <w:pStyle w:val="ListParagraph"/>
        <w:numPr>
          <w:ilvl w:val="0"/>
          <w:numId w:val="7"/>
        </w:numPr>
        <w:rPr>
          <w:rFonts w:ascii="Segoe UI" w:hAnsi="Segoe UI" w:cs="Segoe UI"/>
          <w:color w:val="221E1F"/>
          <w:sz w:val="24"/>
          <w:szCs w:val="24"/>
        </w:rPr>
      </w:pPr>
      <w:r w:rsidRPr="00344267">
        <w:rPr>
          <w:rFonts w:ascii="Segoe UI" w:hAnsi="Segoe UI" w:cs="Segoe UI"/>
          <w:color w:val="221E1F"/>
          <w:sz w:val="24"/>
          <w:szCs w:val="24"/>
        </w:rPr>
        <w:t>Communication</w:t>
      </w:r>
      <w:r w:rsidR="006D7211" w:rsidRPr="00344267">
        <w:rPr>
          <w:rFonts w:ascii="Segoe UI" w:hAnsi="Segoe UI" w:cs="Segoe UI"/>
          <w:color w:val="221E1F"/>
          <w:sz w:val="24"/>
          <w:szCs w:val="24"/>
        </w:rPr>
        <w:t xml:space="preserve"> </w:t>
      </w:r>
    </w:p>
    <w:p w:rsidR="00344267" w:rsidRPr="00344267" w:rsidRDefault="00344267" w:rsidP="00344267">
      <w:pPr>
        <w:rPr>
          <w:rFonts w:ascii="Segoe UI" w:hAnsi="Segoe UI" w:cs="Segoe UI"/>
          <w:color w:val="221E1F"/>
          <w:sz w:val="24"/>
          <w:szCs w:val="24"/>
        </w:rPr>
      </w:pPr>
    </w:p>
    <w:p w:rsidR="005E1C38" w:rsidRPr="00B92A85" w:rsidRDefault="005E1C38">
      <w:pPr>
        <w:rPr>
          <w:rFonts w:ascii="Segoe UI" w:hAnsi="Segoe UI" w:cs="Segoe UI"/>
          <w:sz w:val="21"/>
          <w:szCs w:val="21"/>
        </w:rPr>
      </w:pPr>
    </w:p>
    <w:sectPr w:rsidR="005E1C38" w:rsidRPr="00B92A85" w:rsidSect="003237DD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F8" w:rsidRDefault="003638F8" w:rsidP="005E1C38">
      <w:pPr>
        <w:spacing w:after="0" w:line="240" w:lineRule="auto"/>
      </w:pPr>
      <w:r>
        <w:separator/>
      </w:r>
    </w:p>
  </w:endnote>
  <w:endnote w:type="continuationSeparator" w:id="0">
    <w:p w:rsidR="003638F8" w:rsidRDefault="003638F8" w:rsidP="005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no Pro SmText">
    <w:altName w:val="Arno Pro Sm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 Subhead">
    <w:altName w:val="Arno Pro Subhe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DD" w:rsidRPr="00D639F9" w:rsidRDefault="003237DD" w:rsidP="003237DD">
    <w:pPr>
      <w:pStyle w:val="Footer"/>
      <w:jc w:val="right"/>
      <w:rPr>
        <w:rFonts w:ascii="Segoe UI" w:hAnsi="Segoe UI" w:cs="Segoe UI"/>
        <w:i/>
        <w:sz w:val="24"/>
        <w:szCs w:val="24"/>
      </w:rPr>
    </w:pPr>
    <w:r w:rsidRPr="00D639F9">
      <w:rPr>
        <w:rFonts w:ascii="Segoe UI" w:hAnsi="Segoe UI" w:cs="Segoe UI"/>
        <w:i/>
        <w:sz w:val="24"/>
        <w:szCs w:val="24"/>
      </w:rPr>
      <w:t xml:space="preserve">Prepared by the College of Research &amp; Evaluation (C.O.R.E.)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F8" w:rsidRDefault="003638F8" w:rsidP="005E1C38">
      <w:pPr>
        <w:spacing w:after="0" w:line="240" w:lineRule="auto"/>
      </w:pPr>
      <w:r>
        <w:separator/>
      </w:r>
    </w:p>
  </w:footnote>
  <w:footnote w:type="continuationSeparator" w:id="0">
    <w:p w:rsidR="003638F8" w:rsidRDefault="003638F8" w:rsidP="005E1C38">
      <w:pPr>
        <w:spacing w:after="0" w:line="240" w:lineRule="auto"/>
      </w:pPr>
      <w:r>
        <w:continuationSeparator/>
      </w:r>
    </w:p>
  </w:footnote>
  <w:footnote w:id="1">
    <w:p w:rsidR="00603B3D" w:rsidRPr="00603B3D" w:rsidRDefault="00603B3D">
      <w:pPr>
        <w:pStyle w:val="FootnoteText"/>
        <w:rPr>
          <w:rFonts w:cs="Segoe UI"/>
          <w:sz w:val="16"/>
          <w:szCs w:val="16"/>
        </w:rPr>
      </w:pPr>
      <w:r w:rsidRPr="00603B3D">
        <w:rPr>
          <w:rStyle w:val="FootnoteReference"/>
          <w:rFonts w:cs="Segoe UI"/>
          <w:sz w:val="16"/>
          <w:szCs w:val="16"/>
        </w:rPr>
        <w:footnoteRef/>
      </w:r>
      <w:r w:rsidRPr="00603B3D">
        <w:rPr>
          <w:rFonts w:cs="Segoe UI"/>
          <w:sz w:val="16"/>
          <w:szCs w:val="16"/>
        </w:rPr>
        <w:t xml:space="preserve"> </w:t>
      </w:r>
      <w:hyperlink r:id="rId1" w:anchor="AdditionalInformation" w:history="1">
        <w:r w:rsidRPr="00603B3D">
          <w:rPr>
            <w:rStyle w:val="Hyperlink"/>
            <w:rFonts w:cs="Segoe UI"/>
            <w:sz w:val="16"/>
            <w:szCs w:val="16"/>
          </w:rPr>
          <w:t>https://www.onetonline.org/link/summary/19-4011.00#AdditionalInformation</w:t>
        </w:r>
      </w:hyperlink>
      <w:r w:rsidRPr="00603B3D">
        <w:rPr>
          <w:rFonts w:cs="Segoe UI"/>
          <w:sz w:val="16"/>
          <w:szCs w:val="16"/>
        </w:rPr>
        <w:t xml:space="preserve"> </w:t>
      </w:r>
    </w:p>
  </w:footnote>
  <w:footnote w:id="2">
    <w:p w:rsidR="009174D4" w:rsidRPr="00603B3D" w:rsidRDefault="009174D4">
      <w:pPr>
        <w:pStyle w:val="FootnoteText"/>
        <w:rPr>
          <w:rFonts w:cs="Segoe UI"/>
          <w:sz w:val="16"/>
          <w:szCs w:val="16"/>
        </w:rPr>
      </w:pPr>
      <w:r w:rsidRPr="00603B3D">
        <w:rPr>
          <w:rStyle w:val="FootnoteReference"/>
          <w:rFonts w:cs="Segoe UI"/>
          <w:sz w:val="16"/>
          <w:szCs w:val="16"/>
        </w:rPr>
        <w:footnoteRef/>
      </w:r>
      <w:r w:rsidRPr="00603B3D">
        <w:rPr>
          <w:rFonts w:cs="Segoe UI"/>
          <w:sz w:val="16"/>
          <w:szCs w:val="16"/>
        </w:rPr>
        <w:t xml:space="preserve"> </w:t>
      </w:r>
      <w:hyperlink r:id="rId2" w:history="1">
        <w:r w:rsidRPr="00603B3D">
          <w:rPr>
            <w:rStyle w:val="Hyperlink"/>
            <w:rFonts w:cs="Segoe UI"/>
            <w:sz w:val="16"/>
            <w:szCs w:val="16"/>
          </w:rPr>
          <w:t>http://www.foodprotection.org/files/food-protection-trends/Mar-Apr-15-Stevenson.pdf</w:t>
        </w:r>
      </w:hyperlink>
      <w:r w:rsidRPr="00603B3D">
        <w:rPr>
          <w:rFonts w:cs="Segoe UI"/>
          <w:sz w:val="16"/>
          <w:szCs w:val="16"/>
        </w:rPr>
        <w:t xml:space="preserve">, foodprotection.org page 105 </w:t>
      </w:r>
    </w:p>
  </w:footnote>
  <w:footnote w:id="3">
    <w:p w:rsidR="00B944FB" w:rsidRPr="00603B3D" w:rsidRDefault="00B944FB">
      <w:pPr>
        <w:pStyle w:val="FootnoteText"/>
        <w:rPr>
          <w:rFonts w:cs="Segoe UI"/>
          <w:sz w:val="16"/>
          <w:szCs w:val="16"/>
        </w:rPr>
      </w:pPr>
      <w:r w:rsidRPr="00603B3D">
        <w:rPr>
          <w:rStyle w:val="FootnoteReference"/>
          <w:rFonts w:cs="Segoe UI"/>
          <w:sz w:val="16"/>
          <w:szCs w:val="16"/>
        </w:rPr>
        <w:footnoteRef/>
      </w:r>
      <w:r w:rsidRPr="00603B3D">
        <w:rPr>
          <w:rFonts w:cs="Segoe UI"/>
          <w:sz w:val="16"/>
          <w:szCs w:val="16"/>
        </w:rPr>
        <w:t xml:space="preserve"> </w:t>
      </w:r>
      <w:hyperlink r:id="rId3" w:history="1">
        <w:r w:rsidRPr="00603B3D">
          <w:rPr>
            <w:rStyle w:val="Hyperlink"/>
            <w:rFonts w:cs="Segoe UI"/>
            <w:sz w:val="16"/>
            <w:szCs w:val="16"/>
          </w:rPr>
          <w:t>https://www.careeronestop.org/Toolkit/StateAndLocal/ProjectedEmployment.aspx?soccode=194011&amp;location=California&amp;dataview=table</w:t>
        </w:r>
      </w:hyperlink>
      <w:r w:rsidRPr="00603B3D">
        <w:rPr>
          <w:rFonts w:cs="Segoe UI"/>
          <w:sz w:val="16"/>
          <w:szCs w:val="16"/>
        </w:rPr>
        <w:t xml:space="preserve"> </w:t>
      </w:r>
    </w:p>
  </w:footnote>
  <w:footnote w:id="4">
    <w:p w:rsidR="00D22BFB" w:rsidRDefault="00D22BFB">
      <w:pPr>
        <w:pStyle w:val="FootnoteText"/>
      </w:pPr>
      <w:r w:rsidRPr="00603B3D">
        <w:rPr>
          <w:rStyle w:val="FootnoteReference"/>
          <w:rFonts w:cs="Segoe UI"/>
          <w:sz w:val="16"/>
          <w:szCs w:val="16"/>
        </w:rPr>
        <w:footnoteRef/>
      </w:r>
      <w:r w:rsidRPr="00603B3D">
        <w:rPr>
          <w:rFonts w:cs="Segoe UI"/>
          <w:sz w:val="16"/>
          <w:szCs w:val="16"/>
        </w:rPr>
        <w:t xml:space="preserve"> </w:t>
      </w:r>
      <w:hyperlink r:id="rId4" w:history="1">
        <w:r w:rsidRPr="00603B3D">
          <w:rPr>
            <w:rStyle w:val="Hyperlink"/>
            <w:rFonts w:cs="Segoe UI"/>
            <w:sz w:val="16"/>
            <w:szCs w:val="16"/>
          </w:rPr>
          <w:t>https://dwmshowcase.com/lmilibrary/documents/lma_CVML_16.pdf</w:t>
        </w:r>
      </w:hyperlink>
      <w:r w:rsidRPr="00603B3D">
        <w:rPr>
          <w:rFonts w:cs="Segoe UI"/>
          <w:sz w:val="16"/>
          <w:szCs w:val="16"/>
        </w:rPr>
        <w:t xml:space="preserve"> </w:t>
      </w:r>
      <w:r w:rsidR="003427B2" w:rsidRPr="00603B3D">
        <w:rPr>
          <w:rFonts w:cs="Segoe UI"/>
          <w:sz w:val="16"/>
          <w:szCs w:val="16"/>
        </w:rPr>
        <w:t>page 48</w:t>
      </w:r>
      <w:r w:rsidR="003427B2">
        <w:t xml:space="preserve"> </w:t>
      </w:r>
    </w:p>
  </w:footnote>
  <w:footnote w:id="5">
    <w:p w:rsidR="00B3029C" w:rsidRPr="003427B2" w:rsidRDefault="00B3029C">
      <w:pPr>
        <w:pStyle w:val="FootnoteText"/>
        <w:rPr>
          <w:sz w:val="16"/>
          <w:szCs w:val="16"/>
        </w:rPr>
      </w:pPr>
      <w:r w:rsidRPr="003427B2">
        <w:rPr>
          <w:rStyle w:val="FootnoteReference"/>
          <w:sz w:val="16"/>
          <w:szCs w:val="16"/>
        </w:rPr>
        <w:footnoteRef/>
      </w:r>
      <w:r w:rsidRPr="003427B2">
        <w:rPr>
          <w:sz w:val="16"/>
          <w:szCs w:val="16"/>
        </w:rPr>
        <w:t xml:space="preserve"> </w:t>
      </w:r>
      <w:hyperlink r:id="rId5" w:history="1">
        <w:r w:rsidRPr="003427B2">
          <w:rPr>
            <w:rStyle w:val="Hyperlink"/>
            <w:sz w:val="16"/>
            <w:szCs w:val="16"/>
          </w:rPr>
          <w:t>https://www.careeronestop.org/Toolkit/StateAndLocal/Wages.aspx?soccode=194011&amp;location=California&amp;dataview=table</w:t>
        </w:r>
      </w:hyperlink>
      <w:r w:rsidRPr="003427B2">
        <w:rPr>
          <w:sz w:val="16"/>
          <w:szCs w:val="16"/>
        </w:rPr>
        <w:t xml:space="preserve"> </w:t>
      </w:r>
      <w:bookmarkStart w:id="0" w:name="_GoBack"/>
      <w:bookmarkEnd w:id="0"/>
    </w:p>
  </w:footnote>
  <w:footnote w:id="6">
    <w:p w:rsidR="003427B2" w:rsidRDefault="003427B2">
      <w:pPr>
        <w:pStyle w:val="FootnoteText"/>
      </w:pPr>
      <w:r w:rsidRPr="003427B2">
        <w:rPr>
          <w:rStyle w:val="FootnoteReference"/>
          <w:sz w:val="16"/>
          <w:szCs w:val="16"/>
        </w:rPr>
        <w:footnoteRef/>
      </w:r>
      <w:r w:rsidRPr="003427B2">
        <w:rPr>
          <w:sz w:val="16"/>
          <w:szCs w:val="16"/>
        </w:rPr>
        <w:t xml:space="preserve"> </w:t>
      </w:r>
      <w:hyperlink r:id="rId6" w:history="1">
        <w:r w:rsidRPr="003427B2">
          <w:rPr>
            <w:rStyle w:val="Hyperlink"/>
            <w:sz w:val="16"/>
            <w:szCs w:val="16"/>
          </w:rPr>
          <w:t>https://dwmshowcase.com/lmilibrary/documents/lma_CVML_16.pdf</w:t>
        </w:r>
      </w:hyperlink>
      <w:r w:rsidRPr="003427B2">
        <w:rPr>
          <w:sz w:val="16"/>
          <w:szCs w:val="16"/>
        </w:rPr>
        <w:t xml:space="preserve"> Page 48</w:t>
      </w:r>
      <w:r>
        <w:t xml:space="preserve"> </w:t>
      </w:r>
    </w:p>
  </w:footnote>
  <w:footnote w:id="7">
    <w:p w:rsidR="006D7211" w:rsidRPr="00603B3D" w:rsidRDefault="006D7211" w:rsidP="006D7211">
      <w:pPr>
        <w:pStyle w:val="FootnoteText"/>
        <w:rPr>
          <w:rFonts w:cs="Segoe UI"/>
          <w:sz w:val="16"/>
          <w:szCs w:val="16"/>
        </w:rPr>
      </w:pPr>
      <w:r w:rsidRPr="00603B3D">
        <w:rPr>
          <w:rStyle w:val="FootnoteReference"/>
          <w:rFonts w:cs="Segoe UI"/>
          <w:sz w:val="16"/>
          <w:szCs w:val="16"/>
        </w:rPr>
        <w:footnoteRef/>
      </w:r>
      <w:r w:rsidRPr="00603B3D">
        <w:rPr>
          <w:rFonts w:cs="Segoe UI"/>
          <w:sz w:val="16"/>
          <w:szCs w:val="16"/>
        </w:rPr>
        <w:t xml:space="preserve"> </w:t>
      </w:r>
      <w:hyperlink r:id="rId7" w:history="1">
        <w:r w:rsidRPr="00603B3D">
          <w:rPr>
            <w:rStyle w:val="Hyperlink"/>
            <w:rFonts w:cs="Segoe UI"/>
            <w:sz w:val="16"/>
            <w:szCs w:val="16"/>
          </w:rPr>
          <w:t>http://www.foodprotection.org/files/food-protection-trends/Mar-Apr-15-Stevenson.pdf</w:t>
        </w:r>
      </w:hyperlink>
      <w:r w:rsidRPr="00603B3D">
        <w:rPr>
          <w:rFonts w:cs="Segoe UI"/>
          <w:sz w:val="16"/>
          <w:szCs w:val="16"/>
        </w:rPr>
        <w:t>,</w:t>
      </w:r>
      <w:r>
        <w:rPr>
          <w:rFonts w:cs="Segoe UI"/>
          <w:sz w:val="16"/>
          <w:szCs w:val="16"/>
        </w:rPr>
        <w:t xml:space="preserve"> foodprotection.org page 102</w:t>
      </w:r>
    </w:p>
  </w:footnote>
  <w:footnote w:id="8">
    <w:p w:rsidR="00344267" w:rsidRPr="00603B3D" w:rsidRDefault="00344267" w:rsidP="00344267">
      <w:pPr>
        <w:pStyle w:val="FootnoteText"/>
        <w:rPr>
          <w:rFonts w:cs="Segoe UI"/>
          <w:sz w:val="16"/>
          <w:szCs w:val="16"/>
        </w:rPr>
      </w:pPr>
      <w:r w:rsidRPr="00603B3D">
        <w:rPr>
          <w:rStyle w:val="FootnoteReference"/>
          <w:rFonts w:cs="Segoe UI"/>
          <w:sz w:val="16"/>
          <w:szCs w:val="16"/>
        </w:rPr>
        <w:footnoteRef/>
      </w:r>
      <w:r w:rsidRPr="00603B3D">
        <w:rPr>
          <w:rFonts w:cs="Segoe UI"/>
          <w:sz w:val="16"/>
          <w:szCs w:val="16"/>
        </w:rPr>
        <w:t xml:space="preserve"> </w:t>
      </w:r>
      <w:hyperlink r:id="rId8" w:history="1">
        <w:r w:rsidRPr="00603B3D">
          <w:rPr>
            <w:rStyle w:val="Hyperlink"/>
            <w:rFonts w:cs="Segoe UI"/>
            <w:sz w:val="16"/>
            <w:szCs w:val="16"/>
          </w:rPr>
          <w:t>http://www.foodprotection.org/files/food-protection-trends/Mar-Apr-15-Stevenson.pdf</w:t>
        </w:r>
      </w:hyperlink>
      <w:r w:rsidRPr="00603B3D">
        <w:rPr>
          <w:rFonts w:cs="Segoe UI"/>
          <w:sz w:val="16"/>
          <w:szCs w:val="16"/>
        </w:rPr>
        <w:t>,</w:t>
      </w:r>
      <w:r>
        <w:rPr>
          <w:rFonts w:cs="Segoe UI"/>
          <w:sz w:val="16"/>
          <w:szCs w:val="16"/>
        </w:rPr>
        <w:t xml:space="preserve"> foodprotection.org page 103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38" w:rsidRDefault="005E1C38" w:rsidP="0060094A">
    <w:pPr>
      <w:pStyle w:val="Header"/>
      <w:shd w:val="clear" w:color="auto" w:fill="171717" w:themeFill="background2" w:themeFillShade="1A"/>
      <w:rPr>
        <w:rFonts w:ascii="Segoe UI" w:hAnsi="Segoe UI" w:cs="Segoe UI"/>
        <w:color w:val="FFFFFF" w:themeColor="background1"/>
        <w:sz w:val="24"/>
        <w:szCs w:val="24"/>
      </w:rPr>
    </w:pPr>
    <w:r w:rsidRPr="005E1C38">
      <w:rPr>
        <w:rFonts w:ascii="Segoe UI" w:hAnsi="Segoe UI" w:cs="Segoe UI"/>
        <w:color w:val="FFFFFF" w:themeColor="background1"/>
        <w:sz w:val="24"/>
        <w:szCs w:val="24"/>
      </w:rPr>
      <w:t xml:space="preserve">LMI Data Template </w:t>
    </w:r>
    <w:r w:rsidRPr="005E1C38">
      <w:rPr>
        <w:rFonts w:ascii="Segoe UI" w:hAnsi="Segoe UI" w:cs="Segoe UI"/>
        <w:color w:val="FFFFFF" w:themeColor="background1"/>
        <w:sz w:val="24"/>
        <w:szCs w:val="24"/>
      </w:rPr>
      <w:tab/>
    </w:r>
    <w:r w:rsidRPr="005E1C38">
      <w:rPr>
        <w:rFonts w:ascii="Segoe UI" w:hAnsi="Segoe UI" w:cs="Segoe UI"/>
        <w:color w:val="FFFFFF" w:themeColor="background1"/>
        <w:sz w:val="24"/>
        <w:szCs w:val="24"/>
      </w:rPr>
      <w:tab/>
      <w:t>College Office of Research &amp; Evaluation</w:t>
    </w:r>
  </w:p>
  <w:p w:rsidR="005E1C38" w:rsidRPr="005E1C38" w:rsidRDefault="005E1C38" w:rsidP="0060094A">
    <w:pPr>
      <w:pStyle w:val="Header"/>
      <w:shd w:val="clear" w:color="auto" w:fill="ACB9CA" w:themeFill="text2" w:themeFillTint="66"/>
      <w:rPr>
        <w:rFonts w:ascii="Segoe UI" w:hAnsi="Segoe UI" w:cs="Segoe UI"/>
        <w:color w:val="FFFFFF" w:themeColor="background1"/>
        <w:sz w:val="24"/>
        <w:szCs w:val="24"/>
      </w:rPr>
    </w:pPr>
    <w:r>
      <w:rPr>
        <w:rFonts w:ascii="Segoe UI" w:hAnsi="Segoe UI" w:cs="Segoe UI"/>
        <w:color w:val="FFFFFF" w:themeColor="background1"/>
        <w:sz w:val="24"/>
        <w:szCs w:val="24"/>
      </w:rPr>
      <w:tab/>
    </w:r>
    <w:r>
      <w:rPr>
        <w:rFonts w:ascii="Segoe UI" w:hAnsi="Segoe UI" w:cs="Segoe UI"/>
        <w:color w:val="FFFFFF" w:themeColor="background1"/>
        <w:sz w:val="24"/>
        <w:szCs w:val="24"/>
      </w:rPr>
      <w:tab/>
    </w:r>
    <w:r w:rsidR="00B944FB">
      <w:rPr>
        <w:rFonts w:ascii="Segoe UI" w:hAnsi="Segoe UI" w:cs="Segoe UI"/>
        <w:color w:val="FFFFFF" w:themeColor="background1"/>
        <w:sz w:val="24"/>
        <w:szCs w:val="24"/>
      </w:rPr>
      <w:t>August 2018</w:t>
    </w:r>
    <w:r>
      <w:rPr>
        <w:rFonts w:ascii="Segoe UI" w:hAnsi="Segoe UI" w:cs="Segoe UI"/>
        <w:color w:val="FFFFFF" w:themeColor="background1"/>
        <w:sz w:val="24"/>
        <w:szCs w:val="24"/>
      </w:rPr>
      <w:t xml:space="preserve"> </w:t>
    </w:r>
    <w:r w:rsidRPr="005E1C38">
      <w:rPr>
        <w:rFonts w:ascii="Segoe UI" w:hAnsi="Segoe UI" w:cs="Segoe UI"/>
        <w:color w:val="FFFFFF" w:themeColor="background1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DD" w:rsidRPr="003237DD" w:rsidRDefault="003237DD" w:rsidP="003237DD">
    <w:pPr>
      <w:pStyle w:val="Header"/>
      <w:jc w:val="right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7A5"/>
    <w:multiLevelType w:val="multilevel"/>
    <w:tmpl w:val="94BA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715B5"/>
    <w:multiLevelType w:val="multilevel"/>
    <w:tmpl w:val="FF24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F57C4"/>
    <w:multiLevelType w:val="multilevel"/>
    <w:tmpl w:val="7F7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D2E85"/>
    <w:multiLevelType w:val="hybridMultilevel"/>
    <w:tmpl w:val="C532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88C"/>
    <w:multiLevelType w:val="hybridMultilevel"/>
    <w:tmpl w:val="148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C5AF7"/>
    <w:multiLevelType w:val="hybridMultilevel"/>
    <w:tmpl w:val="06C4D0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C2C0268"/>
    <w:multiLevelType w:val="hybridMultilevel"/>
    <w:tmpl w:val="1C12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5F3"/>
    <w:multiLevelType w:val="hybridMultilevel"/>
    <w:tmpl w:val="8B9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38"/>
    <w:rsid w:val="00015638"/>
    <w:rsid w:val="00034435"/>
    <w:rsid w:val="00044699"/>
    <w:rsid w:val="00055DD4"/>
    <w:rsid w:val="000566B1"/>
    <w:rsid w:val="00087807"/>
    <w:rsid w:val="000E62D6"/>
    <w:rsid w:val="00135B9E"/>
    <w:rsid w:val="00145E39"/>
    <w:rsid w:val="0016038A"/>
    <w:rsid w:val="001B2150"/>
    <w:rsid w:val="001B37AB"/>
    <w:rsid w:val="00241E93"/>
    <w:rsid w:val="002577D4"/>
    <w:rsid w:val="002E205C"/>
    <w:rsid w:val="003237DD"/>
    <w:rsid w:val="003427B2"/>
    <w:rsid w:val="00344267"/>
    <w:rsid w:val="00354FFE"/>
    <w:rsid w:val="00362EA5"/>
    <w:rsid w:val="003638F8"/>
    <w:rsid w:val="00376931"/>
    <w:rsid w:val="003A2163"/>
    <w:rsid w:val="003B531E"/>
    <w:rsid w:val="003E5531"/>
    <w:rsid w:val="00406D09"/>
    <w:rsid w:val="004A071E"/>
    <w:rsid w:val="004C4BED"/>
    <w:rsid w:val="004D7B9B"/>
    <w:rsid w:val="004E13E0"/>
    <w:rsid w:val="005000F2"/>
    <w:rsid w:val="00535DEC"/>
    <w:rsid w:val="005555D2"/>
    <w:rsid w:val="005E1C38"/>
    <w:rsid w:val="005F5E9C"/>
    <w:rsid w:val="0060094A"/>
    <w:rsid w:val="00603B3D"/>
    <w:rsid w:val="0064491A"/>
    <w:rsid w:val="0067382C"/>
    <w:rsid w:val="006830A0"/>
    <w:rsid w:val="006D3969"/>
    <w:rsid w:val="006D7211"/>
    <w:rsid w:val="007062C7"/>
    <w:rsid w:val="00720601"/>
    <w:rsid w:val="008947E0"/>
    <w:rsid w:val="008C609D"/>
    <w:rsid w:val="009102E5"/>
    <w:rsid w:val="009174D4"/>
    <w:rsid w:val="0091750D"/>
    <w:rsid w:val="00924FDF"/>
    <w:rsid w:val="009365DB"/>
    <w:rsid w:val="00965B04"/>
    <w:rsid w:val="00976DD0"/>
    <w:rsid w:val="00994B88"/>
    <w:rsid w:val="009C26FC"/>
    <w:rsid w:val="00A31100"/>
    <w:rsid w:val="00A73781"/>
    <w:rsid w:val="00AC4C53"/>
    <w:rsid w:val="00AD205A"/>
    <w:rsid w:val="00B3029C"/>
    <w:rsid w:val="00B67E2D"/>
    <w:rsid w:val="00B92A85"/>
    <w:rsid w:val="00B944FB"/>
    <w:rsid w:val="00BD3EF5"/>
    <w:rsid w:val="00C853FC"/>
    <w:rsid w:val="00C92E50"/>
    <w:rsid w:val="00CA2ED5"/>
    <w:rsid w:val="00D22BFB"/>
    <w:rsid w:val="00D370FF"/>
    <w:rsid w:val="00D51687"/>
    <w:rsid w:val="00D639F9"/>
    <w:rsid w:val="00D74EFF"/>
    <w:rsid w:val="00D7642B"/>
    <w:rsid w:val="00DB1CB4"/>
    <w:rsid w:val="00DD7D71"/>
    <w:rsid w:val="00E06497"/>
    <w:rsid w:val="00E70694"/>
    <w:rsid w:val="00EB4BAF"/>
    <w:rsid w:val="00EC271E"/>
    <w:rsid w:val="00ED2CFD"/>
    <w:rsid w:val="00ED6BE7"/>
    <w:rsid w:val="00EF5E81"/>
    <w:rsid w:val="00F10D6D"/>
    <w:rsid w:val="00F2172E"/>
    <w:rsid w:val="00F37C06"/>
    <w:rsid w:val="00F9067C"/>
    <w:rsid w:val="00F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94B95-6732-472C-B5D9-54B44A9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3B3D"/>
    <w:pPr>
      <w:spacing w:before="199" w:after="199" w:line="240" w:lineRule="auto"/>
      <w:outlineLvl w:val="1"/>
    </w:pPr>
    <w:rPr>
      <w:rFonts w:ascii="Arial" w:eastAsia="Times New Roman" w:hAnsi="Arial" w:cs="Arial"/>
      <w:b/>
      <w:bCs/>
      <w:color w:val="00448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38"/>
  </w:style>
  <w:style w:type="paragraph" w:styleId="Footer">
    <w:name w:val="footer"/>
    <w:basedOn w:val="Normal"/>
    <w:link w:val="FooterChar"/>
    <w:uiPriority w:val="99"/>
    <w:unhideWhenUsed/>
    <w:rsid w:val="005E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38"/>
  </w:style>
  <w:style w:type="paragraph" w:styleId="FootnoteText">
    <w:name w:val="footnote text"/>
    <w:basedOn w:val="Normal"/>
    <w:link w:val="FootnoteTextChar"/>
    <w:uiPriority w:val="99"/>
    <w:semiHidden/>
    <w:unhideWhenUsed/>
    <w:rsid w:val="00ED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CFD"/>
    <w:rPr>
      <w:vertAlign w:val="superscript"/>
    </w:rPr>
  </w:style>
  <w:style w:type="paragraph" w:styleId="NoSpacing">
    <w:name w:val="No Spacing"/>
    <w:link w:val="NoSpacingChar"/>
    <w:uiPriority w:val="1"/>
    <w:qFormat/>
    <w:rsid w:val="003237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37D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1E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E93"/>
    <w:rPr>
      <w:color w:val="954F72" w:themeColor="followedHyperlink"/>
      <w:u w:val="single"/>
    </w:rPr>
  </w:style>
  <w:style w:type="paragraph" w:customStyle="1" w:styleId="Default">
    <w:name w:val="Default"/>
    <w:rsid w:val="00EB4BAF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A85"/>
    <w:pPr>
      <w:ind w:left="720"/>
      <w:contextualSpacing/>
    </w:pPr>
  </w:style>
  <w:style w:type="character" w:customStyle="1" w:styleId="notranslate">
    <w:name w:val="notranslate"/>
    <w:basedOn w:val="DefaultParagraphFont"/>
    <w:rsid w:val="00F10D6D"/>
  </w:style>
  <w:style w:type="table" w:styleId="TableGrid">
    <w:name w:val="Table Grid"/>
    <w:basedOn w:val="TableNormal"/>
    <w:uiPriority w:val="39"/>
    <w:rsid w:val="00F1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70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itleb">
    <w:name w:val="titleb"/>
    <w:basedOn w:val="DefaultParagraphFont"/>
    <w:rsid w:val="009174D4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character" w:customStyle="1" w:styleId="logo-text-25">
    <w:name w:val="logo-text-25"/>
    <w:basedOn w:val="DefaultParagraphFont"/>
    <w:rsid w:val="00B944FB"/>
    <w:rPr>
      <w:rFonts w:ascii="Verdana" w:hAnsi="Verdana" w:hint="default"/>
      <w:color w:val="000000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603B3D"/>
    <w:rPr>
      <w:rFonts w:ascii="Arial" w:eastAsia="Times New Roman" w:hAnsi="Arial" w:cs="Arial"/>
      <w:b/>
      <w:bCs/>
      <w:color w:val="004488"/>
      <w:sz w:val="36"/>
      <w:szCs w:val="36"/>
    </w:rPr>
  </w:style>
  <w:style w:type="paragraph" w:customStyle="1" w:styleId="Pa41">
    <w:name w:val="Pa41"/>
    <w:basedOn w:val="Default"/>
    <w:next w:val="Default"/>
    <w:uiPriority w:val="99"/>
    <w:rsid w:val="006D7211"/>
    <w:pPr>
      <w:spacing w:line="201" w:lineRule="atLeast"/>
    </w:pPr>
    <w:rPr>
      <w:rFonts w:ascii="Arno Pro SmText" w:hAnsi="Arno Pro SmTex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D7211"/>
    <w:pPr>
      <w:spacing w:line="201" w:lineRule="atLeast"/>
    </w:pPr>
    <w:rPr>
      <w:rFonts w:ascii="Arno Pro Subhead" w:hAnsi="Arno Pro Subhead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575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122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7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50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tection.org/files/food-protection-trends/Mar-Apr-15-Stevenson.pdf" TargetMode="External"/><Relationship Id="rId3" Type="http://schemas.openxmlformats.org/officeDocument/2006/relationships/hyperlink" Target="https://www.careeronestop.org/Toolkit/StateAndLocal/ProjectedEmployment.aspx?soccode=194011&amp;location=California&amp;dataview=table" TargetMode="External"/><Relationship Id="rId7" Type="http://schemas.openxmlformats.org/officeDocument/2006/relationships/hyperlink" Target="http://www.foodprotection.org/files/food-protection-trends/Mar-Apr-15-Stevenson.pdf" TargetMode="External"/><Relationship Id="rId2" Type="http://schemas.openxmlformats.org/officeDocument/2006/relationships/hyperlink" Target="http://www.foodprotection.org/files/food-protection-trends/Mar-Apr-15-Stevenson.pdf" TargetMode="External"/><Relationship Id="rId1" Type="http://schemas.openxmlformats.org/officeDocument/2006/relationships/hyperlink" Target="https://www.onetonline.org/link/summary/19-4011.00" TargetMode="External"/><Relationship Id="rId6" Type="http://schemas.openxmlformats.org/officeDocument/2006/relationships/hyperlink" Target="https://dwmshowcase.com/lmilibrary/documents/lma_CVML_16.pdf" TargetMode="External"/><Relationship Id="rId5" Type="http://schemas.openxmlformats.org/officeDocument/2006/relationships/hyperlink" Target="https://www.careeronestop.org/Toolkit/StateAndLocal/Wages.aspx?soccode=194011&amp;location=California&amp;dataview=table" TargetMode="External"/><Relationship Id="rId4" Type="http://schemas.openxmlformats.org/officeDocument/2006/relationships/hyperlink" Target="https://dwmshowcase.com/lmilibrary/documents/lma_CVML_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8636-AB66-414F-9F41-80906051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MARKET DATA</vt:lpstr>
    </vt:vector>
  </TitlesOfParts>
  <Company>SCCCD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MARKET DATA</dc:title>
  <dc:subject>Food Safety in Animal Science</dc:subject>
  <dc:creator>Elizabeth Villalobos</dc:creator>
  <cp:keywords/>
  <dc:description/>
  <cp:lastModifiedBy>Elizabeth Villalobos</cp:lastModifiedBy>
  <cp:revision>12</cp:revision>
  <cp:lastPrinted>2018-08-29T23:18:00Z</cp:lastPrinted>
  <dcterms:created xsi:type="dcterms:W3CDTF">2018-08-27T22:06:00Z</dcterms:created>
  <dcterms:modified xsi:type="dcterms:W3CDTF">2018-08-29T23:33:00Z</dcterms:modified>
</cp:coreProperties>
</file>